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B2" w:rsidRDefault="00E760B2" w:rsidP="00AB6C94">
      <w:pPr>
        <w:framePr w:hSpace="180" w:wrap="around" w:vAnchor="text" w:hAnchor="page" w:x="535" w:y="31"/>
      </w:pPr>
      <w:r>
        <w:object w:dxaOrig="5987" w:dyaOrig="9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86.95pt" o:ole="">
            <v:imagedata r:id="rId8" o:title=""/>
          </v:shape>
          <o:OLEObject Type="Embed" ProgID="MS_ClipArt_Gallery" ShapeID="_x0000_i1025" DrawAspect="Content" ObjectID="_1520231716" r:id="rId9"/>
        </w:object>
      </w:r>
    </w:p>
    <w:p w:rsidR="00E760B2" w:rsidRDefault="00E760B2">
      <w:pPr>
        <w:framePr w:hSpace="180" w:wrap="around" w:vAnchor="text" w:hAnchor="page" w:x="9621" w:y="-32"/>
      </w:pPr>
      <w:r>
        <w:object w:dxaOrig="7487" w:dyaOrig="7812">
          <v:shape id="_x0000_i1026" type="#_x0000_t75" style="width:79.45pt;height:93.75pt" o:ole="">
            <v:imagedata r:id="rId10" o:title=""/>
          </v:shape>
          <o:OLEObject Type="Embed" ProgID="MS_ClipArt_Gallery" ShapeID="_x0000_i1026" DrawAspect="Content" ObjectID="_1520231717" r:id="rId11"/>
        </w:object>
      </w:r>
    </w:p>
    <w:p w:rsidR="00E760B2" w:rsidRDefault="00E760B2">
      <w:pPr>
        <w:tabs>
          <w:tab w:val="right" w:pos="10065"/>
        </w:tabs>
        <w:jc w:val="center"/>
        <w:rPr>
          <w:rFonts w:ascii="Century Gothic" w:hAnsi="Century Gothic"/>
        </w:rPr>
      </w:pPr>
      <w:r>
        <w:rPr>
          <w:rFonts w:ascii="Century Gothic" w:hAnsi="Century Gothic"/>
        </w:rPr>
        <w:object w:dxaOrig="4810" w:dyaOrig="711">
          <v:shape id="_x0000_i1027" type="#_x0000_t75" style="width:240.45pt;height:36pt" o:ole="">
            <v:imagedata r:id="rId12" o:title=""/>
          </v:shape>
          <o:OLEObject Type="Embed" ProgID="MSWordArt.2" ShapeID="_x0000_i1027" DrawAspect="Content" ObjectID="_1520231718" r:id="rId13">
            <o:FieldCodes>\s</o:FieldCodes>
          </o:OLEObject>
        </w:object>
      </w:r>
    </w:p>
    <w:p w:rsidR="00E760B2" w:rsidRDefault="00E760B2">
      <w:pPr>
        <w:tabs>
          <w:tab w:val="right" w:pos="10065"/>
        </w:tabs>
        <w:jc w:val="center"/>
        <w:rPr>
          <w:rFonts w:ascii="Century Gothic" w:hAnsi="Century Gothic"/>
        </w:rPr>
      </w:pPr>
      <w:r>
        <w:rPr>
          <w:rFonts w:ascii="Century Gothic" w:hAnsi="Century Gothic"/>
        </w:rPr>
        <w:t>Tel: 01636 706543   E-mail: david@davidpattinson.co.uk</w:t>
      </w:r>
    </w:p>
    <w:p w:rsidR="00E760B2" w:rsidRDefault="00E760B2">
      <w:pPr>
        <w:tabs>
          <w:tab w:val="right" w:pos="10065"/>
        </w:tabs>
      </w:pPr>
      <w:r>
        <w:tab/>
      </w:r>
    </w:p>
    <w:p w:rsidR="00E760B2" w:rsidRDefault="00E760B2">
      <w:pPr>
        <w:pStyle w:val="Heading4"/>
      </w:pPr>
      <w:r>
        <w:t>B U D G E T   N E W S   201</w:t>
      </w:r>
      <w:r w:rsidR="0077090E">
        <w:t>6</w:t>
      </w:r>
    </w:p>
    <w:p w:rsidR="00E760B2" w:rsidRDefault="00E760B2">
      <w:pPr>
        <w:tabs>
          <w:tab w:val="right" w:pos="10065"/>
        </w:tabs>
        <w:rPr>
          <w:sz w:val="24"/>
        </w:rPr>
      </w:pPr>
    </w:p>
    <w:p w:rsidR="00E760B2" w:rsidRDefault="00E760B2">
      <w:pPr>
        <w:tabs>
          <w:tab w:val="right" w:pos="10065"/>
        </w:tabs>
        <w:sectPr w:rsidR="00E760B2">
          <w:footerReference w:type="default" r:id="rId14"/>
          <w:pgSz w:w="11907" w:h="16840"/>
          <w:pgMar w:top="1134" w:right="680" w:bottom="1134" w:left="964" w:header="720" w:footer="564" w:gutter="0"/>
          <w:cols w:space="720"/>
        </w:sectPr>
      </w:pPr>
    </w:p>
    <w:p w:rsidR="00BE1988" w:rsidRDefault="00BE1988">
      <w:pPr>
        <w:pStyle w:val="Heading5"/>
        <w:rPr>
          <w:rFonts w:ascii="Antique Olive" w:hAnsi="Antique Olive"/>
          <w:sz w:val="16"/>
          <w:szCs w:val="16"/>
        </w:rPr>
      </w:pPr>
    </w:p>
    <w:p w:rsidR="00BE1988" w:rsidRDefault="00BE1988">
      <w:pPr>
        <w:pStyle w:val="Heading5"/>
        <w:rPr>
          <w:rFonts w:ascii="Antique Olive" w:hAnsi="Antique Olive"/>
          <w:sz w:val="16"/>
          <w:szCs w:val="16"/>
        </w:rPr>
      </w:pPr>
    </w:p>
    <w:p w:rsidR="00E760B2" w:rsidRPr="00B37140" w:rsidRDefault="00BE1988">
      <w:pPr>
        <w:pStyle w:val="Heading5"/>
        <w:rPr>
          <w:rFonts w:ascii="Antique Olive" w:hAnsi="Antique Olive"/>
          <w:sz w:val="16"/>
          <w:szCs w:val="16"/>
        </w:rPr>
      </w:pPr>
      <w:r>
        <w:rPr>
          <w:noProof/>
          <w:sz w:val="28"/>
        </w:rPr>
        <w:pict>
          <v:rect id="_x0000_s1028" style="position:absolute;left:0;text-align:left;margin-left:-1.8pt;margin-top:4.8pt;width:261.5pt;height:137.8pt;z-index:-1" o:allowincell="f"/>
        </w:pict>
      </w:r>
    </w:p>
    <w:p w:rsidR="00E760B2" w:rsidRDefault="00E760B2">
      <w:pPr>
        <w:pStyle w:val="Heading5"/>
        <w:rPr>
          <w:rFonts w:ascii="Antique Olive" w:hAnsi="Antique Olive"/>
          <w:sz w:val="28"/>
        </w:rPr>
      </w:pPr>
      <w:r>
        <w:rPr>
          <w:rFonts w:ascii="Antique Olive" w:hAnsi="Antique Olive"/>
          <w:sz w:val="28"/>
        </w:rPr>
        <w:t>A word of warning</w:t>
      </w:r>
    </w:p>
    <w:p w:rsidR="00E760B2" w:rsidRDefault="00E760B2">
      <w:pPr>
        <w:tabs>
          <w:tab w:val="right" w:pos="10065"/>
        </w:tabs>
        <w:jc w:val="center"/>
        <w:rPr>
          <w:sz w:val="16"/>
        </w:rPr>
      </w:pPr>
    </w:p>
    <w:p w:rsidR="00E760B2" w:rsidRDefault="00E760B2" w:rsidP="00265471">
      <w:pPr>
        <w:tabs>
          <w:tab w:val="left" w:pos="142"/>
          <w:tab w:val="right" w:pos="10065"/>
        </w:tabs>
        <w:ind w:left="142" w:right="340"/>
        <w:jc w:val="both"/>
        <w:rPr>
          <w:rFonts w:ascii="Antique Olive" w:hAnsi="Antique Olive"/>
          <w:sz w:val="16"/>
        </w:rPr>
      </w:pPr>
      <w:r>
        <w:rPr>
          <w:b/>
          <w:sz w:val="19"/>
        </w:rPr>
        <w:t>The</w:t>
      </w:r>
      <w:r>
        <w:rPr>
          <w:sz w:val="19"/>
        </w:rPr>
        <w:t xml:space="preserve"> information given below is based mainly on the Chancellor’s budget speech and associated press releases.  Therefore, I cannot accept responsibility for the accuracy of such information.  I have covered the parts of the budget which have the widest effect on taxpayers; it is not an exhaustive account.  On any individual tax problem, there is no substitute for taking specific advice.</w:t>
      </w:r>
    </w:p>
    <w:p w:rsidR="00192D22" w:rsidRDefault="00192D22">
      <w:pPr>
        <w:pStyle w:val="BodyText"/>
        <w:tabs>
          <w:tab w:val="left" w:pos="340"/>
          <w:tab w:val="right" w:pos="4777"/>
        </w:tabs>
        <w:jc w:val="center"/>
        <w:outlineLvl w:val="0"/>
        <w:rPr>
          <w:rFonts w:ascii="Antique Olive" w:hAnsi="Antique Olive"/>
          <w:sz w:val="16"/>
        </w:rPr>
      </w:pPr>
    </w:p>
    <w:p w:rsidR="00265471" w:rsidRDefault="00265471">
      <w:pPr>
        <w:pStyle w:val="BodyText"/>
        <w:tabs>
          <w:tab w:val="left" w:pos="340"/>
          <w:tab w:val="right" w:pos="4777"/>
        </w:tabs>
        <w:jc w:val="center"/>
        <w:outlineLvl w:val="0"/>
        <w:rPr>
          <w:rFonts w:ascii="Antique Olive" w:hAnsi="Antique Olive"/>
          <w:sz w:val="16"/>
        </w:rPr>
      </w:pPr>
    </w:p>
    <w:p w:rsidR="00265471" w:rsidRDefault="00265471">
      <w:pPr>
        <w:pStyle w:val="BodyText"/>
        <w:tabs>
          <w:tab w:val="left" w:pos="340"/>
          <w:tab w:val="right" w:pos="4777"/>
        </w:tabs>
        <w:jc w:val="center"/>
        <w:outlineLvl w:val="0"/>
        <w:rPr>
          <w:rFonts w:ascii="Antique Olive" w:hAnsi="Antique Olive"/>
          <w:sz w:val="16"/>
        </w:rPr>
      </w:pPr>
    </w:p>
    <w:p w:rsidR="00D86DBB" w:rsidRPr="00AB31D8" w:rsidRDefault="00AB31D8" w:rsidP="00265471">
      <w:pPr>
        <w:pStyle w:val="BodyText"/>
        <w:tabs>
          <w:tab w:val="left" w:pos="340"/>
          <w:tab w:val="right" w:pos="5103"/>
        </w:tabs>
        <w:jc w:val="center"/>
        <w:outlineLvl w:val="0"/>
        <w:rPr>
          <w:rFonts w:ascii="Antique Olive" w:hAnsi="Antique Olive"/>
          <w:b/>
          <w:sz w:val="28"/>
          <w:szCs w:val="28"/>
        </w:rPr>
      </w:pPr>
      <w:r w:rsidRPr="00AB31D8">
        <w:rPr>
          <w:rFonts w:ascii="Antique Olive" w:hAnsi="Antique Olive"/>
          <w:b/>
          <w:sz w:val="28"/>
          <w:szCs w:val="28"/>
        </w:rPr>
        <w:t>The Budget in General</w:t>
      </w:r>
    </w:p>
    <w:p w:rsidR="00C47F79" w:rsidRDefault="00C47F79" w:rsidP="00265471">
      <w:pPr>
        <w:pStyle w:val="BodyText"/>
        <w:tabs>
          <w:tab w:val="left" w:pos="426"/>
          <w:tab w:val="right" w:pos="5103"/>
        </w:tabs>
        <w:ind w:left="142" w:right="142"/>
        <w:jc w:val="both"/>
        <w:rPr>
          <w:sz w:val="16"/>
          <w:szCs w:val="16"/>
          <w:u w:val="single"/>
        </w:rPr>
      </w:pPr>
    </w:p>
    <w:p w:rsidR="006D2AD0" w:rsidRPr="00360E83" w:rsidRDefault="00360E83" w:rsidP="00265471">
      <w:pPr>
        <w:pStyle w:val="BodyText"/>
        <w:tabs>
          <w:tab w:val="left" w:pos="426"/>
          <w:tab w:val="right" w:pos="4820"/>
        </w:tabs>
        <w:ind w:left="142" w:right="340"/>
        <w:jc w:val="both"/>
        <w:rPr>
          <w:szCs w:val="19"/>
        </w:rPr>
      </w:pPr>
      <w:r w:rsidRPr="00360E83">
        <w:rPr>
          <w:szCs w:val="19"/>
        </w:rPr>
        <w:tab/>
      </w:r>
      <w:r w:rsidRPr="00360E83">
        <w:rPr>
          <w:b/>
          <w:szCs w:val="19"/>
        </w:rPr>
        <w:t>The</w:t>
      </w:r>
      <w:r w:rsidRPr="00360E83">
        <w:rPr>
          <w:szCs w:val="19"/>
        </w:rPr>
        <w:t xml:space="preserve"> Chancellor began by </w:t>
      </w:r>
      <w:r>
        <w:rPr>
          <w:szCs w:val="19"/>
        </w:rPr>
        <w:t>boasting that the UK’s economy is set to grow faster than any other major advance</w:t>
      </w:r>
      <w:r w:rsidR="003A1743">
        <w:rPr>
          <w:szCs w:val="19"/>
        </w:rPr>
        <w:t>d</w:t>
      </w:r>
      <w:r>
        <w:rPr>
          <w:szCs w:val="19"/>
        </w:rPr>
        <w:t xml:space="preserve"> economy in the world, unemployment is falling and more people are working than ever before.  That somewhat rosy picture masks the reality that growth is lower than previously predicted, so tax receipts are down and it will be harder to achieve the government’s stated aim of a balanced budget by the end of this parliament.  Despite continuing spending cuts, which will reach £3.5 billion a year by 2018/19, there will not be a budget surplus until 2019/20.  Inflation, which has been negligible over the last year or so, is predicted to be 0.7% this year and 1.6% next year.</w:t>
      </w:r>
    </w:p>
    <w:p w:rsidR="0077090E" w:rsidRDefault="0077090E" w:rsidP="00265471">
      <w:pPr>
        <w:pStyle w:val="BodyText"/>
        <w:tabs>
          <w:tab w:val="left" w:pos="426"/>
          <w:tab w:val="right" w:pos="4820"/>
          <w:tab w:val="right" w:pos="5103"/>
        </w:tabs>
        <w:ind w:left="142" w:right="142"/>
        <w:jc w:val="both"/>
        <w:rPr>
          <w:sz w:val="16"/>
          <w:szCs w:val="16"/>
          <w:u w:val="single"/>
        </w:rPr>
      </w:pPr>
    </w:p>
    <w:p w:rsidR="0077090E" w:rsidRDefault="00360E83" w:rsidP="00265471">
      <w:pPr>
        <w:pStyle w:val="BodyText"/>
        <w:tabs>
          <w:tab w:val="left" w:pos="426"/>
          <w:tab w:val="right" w:pos="4820"/>
        </w:tabs>
        <w:ind w:left="142" w:right="340"/>
        <w:jc w:val="both"/>
        <w:rPr>
          <w:szCs w:val="19"/>
        </w:rPr>
      </w:pPr>
      <w:r w:rsidRPr="00360E83">
        <w:rPr>
          <w:szCs w:val="19"/>
        </w:rPr>
        <w:tab/>
        <w:t>This</w:t>
      </w:r>
      <w:r>
        <w:rPr>
          <w:szCs w:val="19"/>
        </w:rPr>
        <w:t xml:space="preserve"> was a budget for tinkering with tax rules, as all of the major changes, such as the new system for taxing dividends, were announced last year.</w:t>
      </w:r>
    </w:p>
    <w:p w:rsidR="00360E83" w:rsidRPr="00360E83" w:rsidRDefault="00360E83" w:rsidP="00265471">
      <w:pPr>
        <w:pStyle w:val="BodyText"/>
        <w:tabs>
          <w:tab w:val="left" w:pos="426"/>
          <w:tab w:val="right" w:pos="4820"/>
          <w:tab w:val="right" w:pos="5103"/>
        </w:tabs>
        <w:ind w:left="142" w:right="142"/>
        <w:jc w:val="both"/>
        <w:rPr>
          <w:sz w:val="16"/>
          <w:szCs w:val="16"/>
        </w:rPr>
      </w:pPr>
    </w:p>
    <w:p w:rsidR="00360E83" w:rsidRPr="00360E83" w:rsidRDefault="00360E83" w:rsidP="00265471">
      <w:pPr>
        <w:pStyle w:val="BodyText"/>
        <w:tabs>
          <w:tab w:val="left" w:pos="426"/>
          <w:tab w:val="right" w:pos="4820"/>
        </w:tabs>
        <w:ind w:left="142" w:right="340"/>
        <w:jc w:val="both"/>
        <w:rPr>
          <w:szCs w:val="19"/>
        </w:rPr>
      </w:pPr>
      <w:r>
        <w:rPr>
          <w:szCs w:val="19"/>
        </w:rPr>
        <w:tab/>
        <w:t>After years of redundancies and budget cuts, the government has finally accepted that HMRC is not doing its job properly, so will provide funding for 800 extra staff.</w:t>
      </w:r>
    </w:p>
    <w:p w:rsidR="00360E83" w:rsidRPr="002D7BAD" w:rsidRDefault="00360E83" w:rsidP="00265471">
      <w:pPr>
        <w:pStyle w:val="BodyText"/>
        <w:tabs>
          <w:tab w:val="left" w:pos="426"/>
          <w:tab w:val="right" w:pos="4820"/>
        </w:tabs>
        <w:ind w:left="142" w:right="340"/>
        <w:jc w:val="both"/>
        <w:rPr>
          <w:szCs w:val="19"/>
          <w:u w:val="single"/>
        </w:rPr>
      </w:pPr>
      <w:r w:rsidRPr="002D7BAD">
        <w:rPr>
          <w:szCs w:val="19"/>
          <w:u w:val="single"/>
        </w:rPr>
        <w:tab/>
      </w:r>
      <w:r w:rsidRPr="002D7BAD">
        <w:rPr>
          <w:szCs w:val="19"/>
          <w:u w:val="single"/>
        </w:rPr>
        <w:tab/>
      </w:r>
    </w:p>
    <w:p w:rsidR="0077090E" w:rsidRPr="002D7BAD" w:rsidRDefault="0077090E" w:rsidP="00265471">
      <w:pPr>
        <w:pStyle w:val="BodyText"/>
        <w:tabs>
          <w:tab w:val="left" w:pos="426"/>
          <w:tab w:val="right" w:pos="4820"/>
          <w:tab w:val="right" w:pos="5103"/>
        </w:tabs>
        <w:ind w:left="142" w:right="142"/>
        <w:jc w:val="both"/>
        <w:rPr>
          <w:szCs w:val="19"/>
          <w:u w:val="single"/>
        </w:rPr>
      </w:pPr>
    </w:p>
    <w:p w:rsidR="00BE1988" w:rsidRPr="003D4976" w:rsidRDefault="00BE1988" w:rsidP="00BE1988">
      <w:pPr>
        <w:pStyle w:val="BodyText"/>
        <w:tabs>
          <w:tab w:val="left" w:pos="426"/>
          <w:tab w:val="right" w:pos="4820"/>
        </w:tabs>
        <w:ind w:left="142" w:right="142"/>
        <w:jc w:val="center"/>
        <w:rPr>
          <w:b/>
          <w:sz w:val="16"/>
          <w:szCs w:val="16"/>
        </w:rPr>
      </w:pPr>
    </w:p>
    <w:p w:rsidR="00BE1988" w:rsidRPr="00360E83" w:rsidRDefault="00BE1988" w:rsidP="00BE1988">
      <w:pPr>
        <w:pStyle w:val="BodyText"/>
        <w:tabs>
          <w:tab w:val="left" w:pos="426"/>
          <w:tab w:val="right" w:pos="4820"/>
        </w:tabs>
        <w:ind w:left="142" w:right="142"/>
        <w:jc w:val="center"/>
        <w:rPr>
          <w:b/>
          <w:sz w:val="28"/>
          <w:szCs w:val="28"/>
        </w:rPr>
      </w:pPr>
      <w:r w:rsidRPr="00360E83">
        <w:rPr>
          <w:b/>
          <w:sz w:val="28"/>
          <w:szCs w:val="28"/>
        </w:rPr>
        <w:t>Barter Trading</w:t>
      </w:r>
    </w:p>
    <w:p w:rsidR="00BE1988" w:rsidRDefault="00BE1988" w:rsidP="00BE1988">
      <w:pPr>
        <w:pStyle w:val="BodyText"/>
        <w:tabs>
          <w:tab w:val="left" w:pos="426"/>
          <w:tab w:val="right" w:pos="4820"/>
        </w:tabs>
        <w:ind w:left="142" w:right="142"/>
        <w:jc w:val="both"/>
        <w:rPr>
          <w:sz w:val="16"/>
          <w:szCs w:val="16"/>
          <w:u w:val="single"/>
        </w:rPr>
      </w:pPr>
    </w:p>
    <w:p w:rsidR="00BE1988" w:rsidRDefault="00BE1988" w:rsidP="00BE1988">
      <w:pPr>
        <w:pStyle w:val="BodyText"/>
        <w:tabs>
          <w:tab w:val="left" w:pos="426"/>
          <w:tab w:val="right" w:pos="4962"/>
        </w:tabs>
        <w:ind w:left="142" w:right="142"/>
        <w:jc w:val="both"/>
        <w:rPr>
          <w:szCs w:val="19"/>
        </w:rPr>
      </w:pPr>
      <w:r w:rsidRPr="00360E83">
        <w:rPr>
          <w:szCs w:val="19"/>
        </w:rPr>
        <w:tab/>
      </w:r>
      <w:r w:rsidRPr="00360E83">
        <w:rPr>
          <w:b/>
          <w:szCs w:val="19"/>
        </w:rPr>
        <w:t>It</w:t>
      </w:r>
      <w:r w:rsidRPr="00360E83">
        <w:rPr>
          <w:szCs w:val="19"/>
        </w:rPr>
        <w:t xml:space="preserve"> </w:t>
      </w:r>
      <w:r>
        <w:rPr>
          <w:szCs w:val="19"/>
        </w:rPr>
        <w:t>has always been the case that tax is due on trading income received in non-monetary form, such as bartered goods or payment in unofficial “currencies” but the law will now be amended to make that clear.</w:t>
      </w:r>
    </w:p>
    <w:p w:rsidR="00BE1988" w:rsidRPr="00BE1988" w:rsidRDefault="00BE1988" w:rsidP="00BE1988">
      <w:pPr>
        <w:pStyle w:val="BodyText"/>
        <w:tabs>
          <w:tab w:val="left" w:pos="426"/>
          <w:tab w:val="right" w:pos="4962"/>
        </w:tabs>
        <w:ind w:left="142" w:right="142"/>
        <w:jc w:val="both"/>
        <w:rPr>
          <w:sz w:val="16"/>
          <w:szCs w:val="16"/>
        </w:rPr>
      </w:pPr>
    </w:p>
    <w:p w:rsidR="00BE1988" w:rsidRPr="00BE1988" w:rsidRDefault="00BE1988" w:rsidP="00BE1988">
      <w:pPr>
        <w:pStyle w:val="BodyText"/>
        <w:tabs>
          <w:tab w:val="left" w:pos="426"/>
          <w:tab w:val="right" w:pos="4962"/>
        </w:tabs>
        <w:ind w:left="142" w:right="142"/>
        <w:jc w:val="both"/>
        <w:rPr>
          <w:sz w:val="16"/>
          <w:szCs w:val="16"/>
        </w:rPr>
      </w:pPr>
    </w:p>
    <w:p w:rsidR="00BE1988" w:rsidRPr="00BE1988" w:rsidRDefault="00BE1988" w:rsidP="00BE1988">
      <w:pPr>
        <w:pStyle w:val="BodyText"/>
        <w:tabs>
          <w:tab w:val="left" w:pos="426"/>
          <w:tab w:val="right" w:pos="4962"/>
        </w:tabs>
        <w:ind w:left="142" w:right="142"/>
        <w:jc w:val="both"/>
        <w:rPr>
          <w:sz w:val="16"/>
          <w:szCs w:val="16"/>
        </w:rPr>
      </w:pPr>
    </w:p>
    <w:p w:rsidR="00BE1988" w:rsidRPr="00BE1988" w:rsidRDefault="00BE1988" w:rsidP="00BE1988">
      <w:pPr>
        <w:pStyle w:val="BodyText"/>
        <w:tabs>
          <w:tab w:val="left" w:pos="426"/>
          <w:tab w:val="right" w:pos="4962"/>
        </w:tabs>
        <w:ind w:left="142" w:right="142"/>
        <w:jc w:val="both"/>
        <w:rPr>
          <w:sz w:val="16"/>
          <w:szCs w:val="16"/>
        </w:rPr>
      </w:pPr>
    </w:p>
    <w:p w:rsidR="00BE1988" w:rsidRPr="00BE1988" w:rsidRDefault="00BE1988" w:rsidP="00BE1988">
      <w:pPr>
        <w:pStyle w:val="BodyText"/>
        <w:tabs>
          <w:tab w:val="left" w:pos="426"/>
          <w:tab w:val="right" w:pos="4962"/>
        </w:tabs>
        <w:ind w:left="142" w:right="142"/>
        <w:jc w:val="both"/>
        <w:rPr>
          <w:sz w:val="16"/>
          <w:szCs w:val="16"/>
        </w:rPr>
      </w:pPr>
    </w:p>
    <w:p w:rsidR="00BE1988" w:rsidRPr="00BE1988" w:rsidRDefault="00BE1988" w:rsidP="00BE1988">
      <w:pPr>
        <w:pStyle w:val="BodyText"/>
        <w:tabs>
          <w:tab w:val="left" w:pos="426"/>
          <w:tab w:val="right" w:pos="4962"/>
        </w:tabs>
        <w:ind w:left="142" w:right="142"/>
        <w:jc w:val="both"/>
        <w:rPr>
          <w:sz w:val="16"/>
          <w:szCs w:val="16"/>
        </w:rPr>
      </w:pPr>
    </w:p>
    <w:p w:rsidR="00BE1988" w:rsidRPr="00BE1988" w:rsidRDefault="00BE1988" w:rsidP="00BE1988">
      <w:pPr>
        <w:pStyle w:val="BodyText"/>
        <w:tabs>
          <w:tab w:val="left" w:pos="426"/>
          <w:tab w:val="right" w:pos="4962"/>
        </w:tabs>
        <w:ind w:left="142" w:right="142"/>
        <w:jc w:val="both"/>
        <w:rPr>
          <w:sz w:val="16"/>
          <w:szCs w:val="16"/>
        </w:rPr>
      </w:pPr>
    </w:p>
    <w:p w:rsidR="00BE1988" w:rsidRPr="00BE1988" w:rsidRDefault="00BE1988" w:rsidP="00BE1988">
      <w:pPr>
        <w:pStyle w:val="BodyText"/>
        <w:tabs>
          <w:tab w:val="left" w:pos="426"/>
          <w:tab w:val="right" w:pos="4962"/>
        </w:tabs>
        <w:ind w:left="142" w:right="142"/>
        <w:jc w:val="both"/>
        <w:rPr>
          <w:sz w:val="16"/>
          <w:szCs w:val="16"/>
        </w:rPr>
      </w:pPr>
    </w:p>
    <w:p w:rsidR="00BE1988" w:rsidRDefault="00BE1988" w:rsidP="00BE1988">
      <w:pPr>
        <w:pStyle w:val="BodyText"/>
        <w:tabs>
          <w:tab w:val="left" w:pos="426"/>
          <w:tab w:val="right" w:pos="4962"/>
        </w:tabs>
        <w:ind w:left="142" w:right="142"/>
        <w:jc w:val="both"/>
        <w:rPr>
          <w:sz w:val="16"/>
          <w:szCs w:val="16"/>
        </w:rPr>
      </w:pPr>
    </w:p>
    <w:p w:rsidR="00BE1988" w:rsidRDefault="00BE1988" w:rsidP="00BE1988">
      <w:pPr>
        <w:pStyle w:val="BodyText"/>
        <w:tabs>
          <w:tab w:val="left" w:pos="426"/>
          <w:tab w:val="right" w:pos="4962"/>
        </w:tabs>
        <w:ind w:left="142" w:right="142"/>
        <w:jc w:val="both"/>
        <w:rPr>
          <w:sz w:val="16"/>
          <w:szCs w:val="16"/>
        </w:rPr>
      </w:pPr>
    </w:p>
    <w:p w:rsidR="00BE1988" w:rsidRPr="00BE1988" w:rsidRDefault="00BE1988" w:rsidP="00BE1988">
      <w:pPr>
        <w:pStyle w:val="BodyText"/>
        <w:tabs>
          <w:tab w:val="left" w:pos="426"/>
          <w:tab w:val="right" w:pos="4962"/>
        </w:tabs>
        <w:ind w:left="142" w:right="142"/>
        <w:jc w:val="both"/>
        <w:rPr>
          <w:sz w:val="16"/>
          <w:szCs w:val="16"/>
        </w:rPr>
      </w:pPr>
    </w:p>
    <w:p w:rsidR="003D4976" w:rsidRDefault="003D4976" w:rsidP="00360E83">
      <w:pPr>
        <w:pStyle w:val="BodyText"/>
        <w:tabs>
          <w:tab w:val="left" w:pos="426"/>
          <w:tab w:val="right" w:pos="4820"/>
        </w:tabs>
        <w:ind w:left="142" w:right="142"/>
        <w:jc w:val="center"/>
        <w:rPr>
          <w:b/>
          <w:sz w:val="28"/>
          <w:szCs w:val="28"/>
        </w:rPr>
      </w:pPr>
      <w:r>
        <w:rPr>
          <w:b/>
          <w:sz w:val="28"/>
          <w:szCs w:val="28"/>
        </w:rPr>
        <w:t>Stamp Duty Land Tax</w:t>
      </w:r>
    </w:p>
    <w:p w:rsidR="003D4976" w:rsidRDefault="003D4976" w:rsidP="00360E83">
      <w:pPr>
        <w:pStyle w:val="BodyText"/>
        <w:tabs>
          <w:tab w:val="left" w:pos="426"/>
          <w:tab w:val="right" w:pos="4820"/>
        </w:tabs>
        <w:ind w:left="142" w:right="142"/>
        <w:jc w:val="center"/>
        <w:rPr>
          <w:b/>
          <w:sz w:val="16"/>
          <w:szCs w:val="16"/>
        </w:rPr>
      </w:pPr>
    </w:p>
    <w:p w:rsidR="003D4976" w:rsidRPr="003D4976" w:rsidRDefault="003D4976" w:rsidP="00265471">
      <w:pPr>
        <w:pStyle w:val="BodyText"/>
        <w:tabs>
          <w:tab w:val="left" w:pos="426"/>
          <w:tab w:val="right" w:pos="4820"/>
        </w:tabs>
        <w:ind w:left="142" w:right="340"/>
        <w:jc w:val="both"/>
        <w:rPr>
          <w:b/>
          <w:szCs w:val="19"/>
        </w:rPr>
      </w:pPr>
      <w:r>
        <w:rPr>
          <w:b/>
          <w:szCs w:val="19"/>
        </w:rPr>
        <w:tab/>
        <w:t xml:space="preserve">SDLT </w:t>
      </w:r>
      <w:r w:rsidRPr="003D4976">
        <w:rPr>
          <w:szCs w:val="19"/>
        </w:rPr>
        <w:t>on residential property</w:t>
      </w:r>
      <w:r>
        <w:rPr>
          <w:szCs w:val="19"/>
        </w:rPr>
        <w:t xml:space="preserve"> was reformed in December 2014, replacing a slab system (where one rate applies to the whole price) with a system of bands of increasing rates.  A similar system has now been introduced for non-residential property, with bands as follows:</w:t>
      </w:r>
    </w:p>
    <w:p w:rsidR="003D4976" w:rsidRPr="003D4976" w:rsidRDefault="003D4976" w:rsidP="003D4976">
      <w:pPr>
        <w:pStyle w:val="BodyText"/>
        <w:tabs>
          <w:tab w:val="left" w:pos="426"/>
          <w:tab w:val="right" w:pos="4820"/>
        </w:tabs>
        <w:ind w:left="142" w:right="142"/>
        <w:jc w:val="both"/>
        <w:rPr>
          <w:b/>
          <w:sz w:val="16"/>
          <w:szCs w:val="16"/>
        </w:rPr>
      </w:pPr>
    </w:p>
    <w:p w:rsidR="003D4976" w:rsidRDefault="003D4976" w:rsidP="003D4976">
      <w:pPr>
        <w:pStyle w:val="BodyText"/>
        <w:tabs>
          <w:tab w:val="left" w:pos="426"/>
          <w:tab w:val="right" w:pos="2835"/>
          <w:tab w:val="right" w:pos="4820"/>
        </w:tabs>
        <w:ind w:left="142" w:right="142"/>
        <w:jc w:val="both"/>
        <w:rPr>
          <w:szCs w:val="19"/>
        </w:rPr>
      </w:pPr>
      <w:r w:rsidRPr="003D4976">
        <w:rPr>
          <w:szCs w:val="19"/>
        </w:rPr>
        <w:tab/>
        <w:t>Up</w:t>
      </w:r>
      <w:r>
        <w:rPr>
          <w:szCs w:val="19"/>
        </w:rPr>
        <w:t xml:space="preserve"> to £150,000</w:t>
      </w:r>
      <w:r>
        <w:rPr>
          <w:szCs w:val="19"/>
        </w:rPr>
        <w:tab/>
        <w:t>0%</w:t>
      </w:r>
    </w:p>
    <w:p w:rsidR="003D4976" w:rsidRDefault="003D4976" w:rsidP="003D4976">
      <w:pPr>
        <w:pStyle w:val="BodyText"/>
        <w:tabs>
          <w:tab w:val="left" w:pos="426"/>
          <w:tab w:val="right" w:pos="2835"/>
          <w:tab w:val="right" w:pos="4820"/>
        </w:tabs>
        <w:ind w:left="142" w:right="142"/>
        <w:jc w:val="both"/>
        <w:rPr>
          <w:szCs w:val="19"/>
        </w:rPr>
      </w:pPr>
      <w:r>
        <w:rPr>
          <w:szCs w:val="19"/>
        </w:rPr>
        <w:tab/>
        <w:t>£150,001 to £250,000</w:t>
      </w:r>
      <w:r>
        <w:rPr>
          <w:szCs w:val="19"/>
        </w:rPr>
        <w:tab/>
        <w:t>2%</w:t>
      </w:r>
    </w:p>
    <w:p w:rsidR="003D4976" w:rsidRPr="003D4976" w:rsidRDefault="003D4976" w:rsidP="003D4976">
      <w:pPr>
        <w:pStyle w:val="BodyText"/>
        <w:tabs>
          <w:tab w:val="left" w:pos="426"/>
          <w:tab w:val="right" w:pos="2835"/>
          <w:tab w:val="right" w:pos="4820"/>
        </w:tabs>
        <w:ind w:left="142" w:right="142"/>
        <w:jc w:val="both"/>
        <w:rPr>
          <w:szCs w:val="19"/>
        </w:rPr>
      </w:pPr>
      <w:r>
        <w:rPr>
          <w:szCs w:val="19"/>
        </w:rPr>
        <w:tab/>
        <w:t>Over £250,000</w:t>
      </w:r>
      <w:r>
        <w:rPr>
          <w:szCs w:val="19"/>
        </w:rPr>
        <w:tab/>
        <w:t>5%</w:t>
      </w:r>
    </w:p>
    <w:p w:rsidR="00360E83" w:rsidRPr="002D7BAD" w:rsidRDefault="00360E83" w:rsidP="003D4976">
      <w:pPr>
        <w:pStyle w:val="BodyText"/>
        <w:tabs>
          <w:tab w:val="left" w:pos="426"/>
          <w:tab w:val="right" w:pos="4962"/>
        </w:tabs>
        <w:ind w:left="142" w:right="142"/>
        <w:jc w:val="both"/>
        <w:rPr>
          <w:szCs w:val="19"/>
          <w:u w:val="single"/>
        </w:rPr>
      </w:pPr>
      <w:r w:rsidRPr="002D7BAD">
        <w:rPr>
          <w:szCs w:val="19"/>
          <w:u w:val="single"/>
        </w:rPr>
        <w:tab/>
      </w:r>
      <w:r w:rsidRPr="002D7BAD">
        <w:rPr>
          <w:szCs w:val="19"/>
          <w:u w:val="single"/>
        </w:rPr>
        <w:tab/>
      </w:r>
    </w:p>
    <w:p w:rsidR="0077090E" w:rsidRPr="002D7BAD" w:rsidRDefault="0077090E" w:rsidP="005F3407">
      <w:pPr>
        <w:pStyle w:val="BodyText"/>
        <w:tabs>
          <w:tab w:val="left" w:pos="426"/>
          <w:tab w:val="right" w:pos="4820"/>
        </w:tabs>
        <w:ind w:left="142" w:right="142"/>
        <w:jc w:val="both"/>
        <w:rPr>
          <w:szCs w:val="19"/>
          <w:u w:val="single"/>
        </w:rPr>
      </w:pPr>
    </w:p>
    <w:p w:rsidR="0077090E" w:rsidRPr="003D4976" w:rsidRDefault="003D4976" w:rsidP="003D4976">
      <w:pPr>
        <w:pStyle w:val="BodyText"/>
        <w:tabs>
          <w:tab w:val="left" w:pos="426"/>
          <w:tab w:val="right" w:pos="4820"/>
        </w:tabs>
        <w:ind w:left="142" w:right="142"/>
        <w:jc w:val="center"/>
        <w:rPr>
          <w:b/>
          <w:sz w:val="28"/>
          <w:szCs w:val="28"/>
        </w:rPr>
      </w:pPr>
      <w:r w:rsidRPr="003D4976">
        <w:rPr>
          <w:b/>
          <w:sz w:val="28"/>
          <w:szCs w:val="28"/>
        </w:rPr>
        <w:t>Capital Gains Tax 2016/17</w:t>
      </w:r>
    </w:p>
    <w:p w:rsidR="0077090E" w:rsidRDefault="0077090E" w:rsidP="005F3407">
      <w:pPr>
        <w:pStyle w:val="BodyText"/>
        <w:tabs>
          <w:tab w:val="left" w:pos="426"/>
          <w:tab w:val="right" w:pos="4820"/>
        </w:tabs>
        <w:ind w:left="142" w:right="142"/>
        <w:jc w:val="both"/>
        <w:rPr>
          <w:sz w:val="16"/>
          <w:szCs w:val="16"/>
          <w:u w:val="single"/>
        </w:rPr>
      </w:pPr>
    </w:p>
    <w:p w:rsidR="0077090E" w:rsidRPr="003D4976" w:rsidRDefault="003D4976" w:rsidP="005F3407">
      <w:pPr>
        <w:pStyle w:val="BodyText"/>
        <w:tabs>
          <w:tab w:val="left" w:pos="426"/>
          <w:tab w:val="right" w:pos="4820"/>
        </w:tabs>
        <w:ind w:left="142" w:right="142"/>
        <w:jc w:val="both"/>
        <w:rPr>
          <w:szCs w:val="19"/>
        </w:rPr>
      </w:pPr>
      <w:r w:rsidRPr="003D4976">
        <w:rPr>
          <w:szCs w:val="19"/>
        </w:rPr>
        <w:tab/>
      </w:r>
      <w:r w:rsidRPr="003D4976">
        <w:rPr>
          <w:b/>
          <w:szCs w:val="19"/>
        </w:rPr>
        <w:t>In</w:t>
      </w:r>
      <w:r>
        <w:rPr>
          <w:szCs w:val="19"/>
        </w:rPr>
        <w:t xml:space="preserve"> a surprise move, the rates of Capital Gains Tax are reduced from 18% to 10% for basic-rate </w:t>
      </w:r>
      <w:proofErr w:type="gramStart"/>
      <w:r>
        <w:rPr>
          <w:szCs w:val="19"/>
        </w:rPr>
        <w:t>taxpayers,</w:t>
      </w:r>
      <w:proofErr w:type="gramEnd"/>
      <w:r>
        <w:rPr>
          <w:szCs w:val="19"/>
        </w:rPr>
        <w:t xml:space="preserve"> and from 28% to 20% for higher-rate taxpayers.  The new rates do not apply</w:t>
      </w:r>
      <w:r w:rsidR="003A1743">
        <w:rPr>
          <w:szCs w:val="19"/>
        </w:rPr>
        <w:t>,</w:t>
      </w:r>
      <w:r>
        <w:rPr>
          <w:szCs w:val="19"/>
        </w:rPr>
        <w:t xml:space="preserve"> though, to sales of residential property which do not qualify for principal private residence relief (in other words sales of second ho</w:t>
      </w:r>
      <w:r w:rsidR="003A1743">
        <w:rPr>
          <w:szCs w:val="19"/>
        </w:rPr>
        <w:t>mes</w:t>
      </w:r>
      <w:r>
        <w:rPr>
          <w:szCs w:val="19"/>
        </w:rPr>
        <w:t xml:space="preserve"> or buy-to-let properties will still be </w:t>
      </w:r>
      <w:r w:rsidR="003A1743">
        <w:rPr>
          <w:szCs w:val="19"/>
        </w:rPr>
        <w:t>taxed at the old rates</w:t>
      </w:r>
      <w:r w:rsidR="00265471">
        <w:rPr>
          <w:szCs w:val="19"/>
        </w:rPr>
        <w:t>)</w:t>
      </w:r>
      <w:r w:rsidR="003A1743">
        <w:rPr>
          <w:szCs w:val="19"/>
        </w:rPr>
        <w:t>.</w:t>
      </w:r>
    </w:p>
    <w:p w:rsidR="003D4976" w:rsidRPr="002D7BAD" w:rsidRDefault="003D4976" w:rsidP="003D4976">
      <w:pPr>
        <w:pStyle w:val="BodyText"/>
        <w:tabs>
          <w:tab w:val="left" w:pos="426"/>
          <w:tab w:val="right" w:pos="4820"/>
        </w:tabs>
        <w:ind w:left="142" w:right="142"/>
        <w:jc w:val="both"/>
        <w:rPr>
          <w:szCs w:val="19"/>
          <w:u w:val="single"/>
        </w:rPr>
      </w:pPr>
      <w:r w:rsidRPr="002D7BAD">
        <w:rPr>
          <w:szCs w:val="19"/>
          <w:u w:val="single"/>
        </w:rPr>
        <w:tab/>
      </w:r>
      <w:r w:rsidRPr="002D7BAD">
        <w:rPr>
          <w:szCs w:val="19"/>
          <w:u w:val="single"/>
        </w:rPr>
        <w:tab/>
      </w:r>
    </w:p>
    <w:p w:rsidR="0077090E" w:rsidRPr="002D7BAD" w:rsidRDefault="0077090E" w:rsidP="005F3407">
      <w:pPr>
        <w:pStyle w:val="BodyText"/>
        <w:tabs>
          <w:tab w:val="left" w:pos="426"/>
          <w:tab w:val="right" w:pos="4820"/>
        </w:tabs>
        <w:ind w:left="142" w:right="142"/>
        <w:jc w:val="both"/>
        <w:rPr>
          <w:szCs w:val="19"/>
          <w:u w:val="single"/>
        </w:rPr>
      </w:pPr>
    </w:p>
    <w:p w:rsidR="003D4976" w:rsidRPr="003D4976" w:rsidRDefault="003D4976" w:rsidP="003D4976">
      <w:pPr>
        <w:pStyle w:val="BodyText"/>
        <w:tabs>
          <w:tab w:val="left" w:pos="426"/>
          <w:tab w:val="right" w:pos="4820"/>
        </w:tabs>
        <w:ind w:left="142" w:right="142"/>
        <w:jc w:val="center"/>
        <w:rPr>
          <w:b/>
          <w:sz w:val="28"/>
          <w:szCs w:val="28"/>
        </w:rPr>
      </w:pPr>
      <w:r w:rsidRPr="003D4976">
        <w:rPr>
          <w:b/>
          <w:sz w:val="28"/>
          <w:szCs w:val="28"/>
        </w:rPr>
        <w:t>Loans to Participators</w:t>
      </w:r>
    </w:p>
    <w:p w:rsidR="003D4976" w:rsidRDefault="003D4976" w:rsidP="005F3407">
      <w:pPr>
        <w:pStyle w:val="BodyText"/>
        <w:tabs>
          <w:tab w:val="left" w:pos="426"/>
          <w:tab w:val="right" w:pos="4820"/>
        </w:tabs>
        <w:ind w:left="142" w:right="142"/>
        <w:jc w:val="both"/>
        <w:rPr>
          <w:sz w:val="16"/>
          <w:szCs w:val="16"/>
          <w:u w:val="single"/>
        </w:rPr>
      </w:pPr>
    </w:p>
    <w:p w:rsidR="0077090E" w:rsidRDefault="003D4976" w:rsidP="005F3407">
      <w:pPr>
        <w:pStyle w:val="BodyText"/>
        <w:tabs>
          <w:tab w:val="left" w:pos="426"/>
          <w:tab w:val="right" w:pos="4820"/>
        </w:tabs>
        <w:ind w:left="142" w:right="142"/>
        <w:jc w:val="both"/>
        <w:rPr>
          <w:szCs w:val="19"/>
        </w:rPr>
      </w:pPr>
      <w:r>
        <w:rPr>
          <w:szCs w:val="19"/>
        </w:rPr>
        <w:tab/>
      </w:r>
      <w:r w:rsidRPr="003D4976">
        <w:rPr>
          <w:b/>
          <w:szCs w:val="19"/>
        </w:rPr>
        <w:t>When</w:t>
      </w:r>
      <w:r>
        <w:rPr>
          <w:szCs w:val="19"/>
        </w:rPr>
        <w:t xml:space="preserve"> a limited company lends money to a participator (generally a director) it has to make a tax payment, which can be reclaimed when the loan is repaid.  For a long time the rate has been 25%, which was derived from the tax a company had to pay when a dividend was paid.  From 2016/17 the rate will be 32.5%, to match the new higher rate on dividends.</w:t>
      </w:r>
    </w:p>
    <w:p w:rsidR="003D4976" w:rsidRPr="003D4976" w:rsidRDefault="003D4976" w:rsidP="005F3407">
      <w:pPr>
        <w:pStyle w:val="BodyText"/>
        <w:tabs>
          <w:tab w:val="left" w:pos="426"/>
          <w:tab w:val="right" w:pos="4820"/>
        </w:tabs>
        <w:ind w:left="142" w:right="142"/>
        <w:jc w:val="both"/>
        <w:rPr>
          <w:sz w:val="16"/>
          <w:szCs w:val="16"/>
        </w:rPr>
      </w:pPr>
    </w:p>
    <w:p w:rsidR="003D4976" w:rsidRDefault="003D4976" w:rsidP="005F3407">
      <w:pPr>
        <w:pStyle w:val="BodyText"/>
        <w:tabs>
          <w:tab w:val="left" w:pos="426"/>
          <w:tab w:val="right" w:pos="4820"/>
        </w:tabs>
        <w:ind w:left="142" w:right="142"/>
        <w:jc w:val="both"/>
        <w:rPr>
          <w:szCs w:val="19"/>
        </w:rPr>
      </w:pPr>
      <w:r>
        <w:rPr>
          <w:szCs w:val="19"/>
        </w:rPr>
        <w:tab/>
        <w:t>It is worth saying here that well-run small companies almost never make loans to directors, so never have to pay this tax.  Loans are usually the result of financial recklessness, in particular directors spending the company’s money as if it were their own.</w:t>
      </w:r>
    </w:p>
    <w:p w:rsidR="003D4976" w:rsidRPr="002D7BAD" w:rsidRDefault="003D4976" w:rsidP="003D4976">
      <w:pPr>
        <w:pStyle w:val="BodyText"/>
        <w:tabs>
          <w:tab w:val="left" w:pos="426"/>
          <w:tab w:val="right" w:pos="4820"/>
        </w:tabs>
        <w:ind w:left="142" w:right="142"/>
        <w:jc w:val="both"/>
        <w:rPr>
          <w:szCs w:val="19"/>
          <w:u w:val="single"/>
        </w:rPr>
      </w:pPr>
      <w:r w:rsidRPr="002D7BAD">
        <w:rPr>
          <w:szCs w:val="19"/>
          <w:u w:val="single"/>
        </w:rPr>
        <w:tab/>
      </w:r>
      <w:r w:rsidRPr="002D7BAD">
        <w:rPr>
          <w:szCs w:val="19"/>
          <w:u w:val="single"/>
        </w:rPr>
        <w:tab/>
      </w:r>
    </w:p>
    <w:p w:rsidR="003D4976" w:rsidRPr="002D7BAD" w:rsidRDefault="003D4976" w:rsidP="005F3407">
      <w:pPr>
        <w:pStyle w:val="BodyText"/>
        <w:tabs>
          <w:tab w:val="left" w:pos="426"/>
          <w:tab w:val="right" w:pos="4820"/>
        </w:tabs>
        <w:ind w:left="142" w:right="142"/>
        <w:jc w:val="both"/>
        <w:rPr>
          <w:szCs w:val="19"/>
        </w:rPr>
      </w:pPr>
    </w:p>
    <w:p w:rsidR="001905C1" w:rsidRPr="001905C1" w:rsidRDefault="001905C1" w:rsidP="001905C1">
      <w:pPr>
        <w:pStyle w:val="BodyText"/>
        <w:tabs>
          <w:tab w:val="left" w:pos="426"/>
          <w:tab w:val="right" w:pos="4820"/>
        </w:tabs>
        <w:ind w:left="142" w:right="142"/>
        <w:jc w:val="center"/>
        <w:rPr>
          <w:b/>
          <w:sz w:val="28"/>
          <w:szCs w:val="28"/>
        </w:rPr>
      </w:pPr>
      <w:r w:rsidRPr="001905C1">
        <w:rPr>
          <w:b/>
          <w:sz w:val="28"/>
          <w:szCs w:val="28"/>
        </w:rPr>
        <w:t>Corporation Tax</w:t>
      </w:r>
    </w:p>
    <w:p w:rsidR="001905C1" w:rsidRPr="001905C1" w:rsidRDefault="001905C1" w:rsidP="005F3407">
      <w:pPr>
        <w:pStyle w:val="BodyText"/>
        <w:tabs>
          <w:tab w:val="left" w:pos="426"/>
          <w:tab w:val="right" w:pos="4820"/>
        </w:tabs>
        <w:ind w:left="142" w:right="142"/>
        <w:jc w:val="both"/>
        <w:rPr>
          <w:sz w:val="16"/>
          <w:szCs w:val="16"/>
        </w:rPr>
      </w:pPr>
    </w:p>
    <w:p w:rsidR="001905C1" w:rsidRPr="003D4976" w:rsidRDefault="001905C1" w:rsidP="005F3407">
      <w:pPr>
        <w:pStyle w:val="BodyText"/>
        <w:tabs>
          <w:tab w:val="left" w:pos="426"/>
          <w:tab w:val="right" w:pos="4820"/>
        </w:tabs>
        <w:ind w:left="142" w:right="142"/>
        <w:jc w:val="both"/>
        <w:rPr>
          <w:szCs w:val="19"/>
        </w:rPr>
      </w:pPr>
      <w:r>
        <w:rPr>
          <w:szCs w:val="19"/>
        </w:rPr>
        <w:tab/>
      </w:r>
      <w:r w:rsidRPr="00265471">
        <w:rPr>
          <w:b/>
          <w:szCs w:val="19"/>
        </w:rPr>
        <w:t>The</w:t>
      </w:r>
      <w:r>
        <w:rPr>
          <w:szCs w:val="19"/>
        </w:rPr>
        <w:t xml:space="preserve"> Chancellor announced last year that the rate of Corporation Tax would be reduced from 20% to 19% in April 2017 and to 18% in April 2020.  He has now gone further and announced that the rate from April 2020 will not be 18%, but 17%.</w:t>
      </w:r>
    </w:p>
    <w:p w:rsidR="0077090E" w:rsidRDefault="0077090E" w:rsidP="005F3407">
      <w:pPr>
        <w:pStyle w:val="BodyText"/>
        <w:tabs>
          <w:tab w:val="left" w:pos="426"/>
          <w:tab w:val="right" w:pos="4820"/>
        </w:tabs>
        <w:ind w:left="142" w:right="142"/>
        <w:jc w:val="both"/>
        <w:rPr>
          <w:sz w:val="16"/>
          <w:szCs w:val="16"/>
          <w:u w:val="single"/>
        </w:rPr>
      </w:pPr>
    </w:p>
    <w:p w:rsidR="00BE1988" w:rsidRDefault="00BE1988" w:rsidP="005F3407">
      <w:pPr>
        <w:pStyle w:val="BodyText"/>
        <w:tabs>
          <w:tab w:val="left" w:pos="426"/>
          <w:tab w:val="right" w:pos="4820"/>
        </w:tabs>
        <w:ind w:left="142" w:right="142"/>
        <w:jc w:val="both"/>
        <w:rPr>
          <w:sz w:val="16"/>
          <w:szCs w:val="16"/>
          <w:u w:val="single"/>
        </w:rPr>
      </w:pPr>
    </w:p>
    <w:p w:rsidR="00BE1988" w:rsidRDefault="00BE1988" w:rsidP="005F3407">
      <w:pPr>
        <w:pStyle w:val="BodyText"/>
        <w:tabs>
          <w:tab w:val="left" w:pos="426"/>
          <w:tab w:val="right" w:pos="4820"/>
        </w:tabs>
        <w:ind w:left="142" w:right="142"/>
        <w:jc w:val="both"/>
        <w:rPr>
          <w:sz w:val="16"/>
          <w:szCs w:val="16"/>
          <w:u w:val="single"/>
        </w:rPr>
      </w:pPr>
    </w:p>
    <w:p w:rsidR="00BE1988" w:rsidRDefault="00BE1988" w:rsidP="005F3407">
      <w:pPr>
        <w:pStyle w:val="BodyText"/>
        <w:tabs>
          <w:tab w:val="left" w:pos="426"/>
          <w:tab w:val="right" w:pos="4820"/>
        </w:tabs>
        <w:ind w:left="142" w:right="142"/>
        <w:jc w:val="both"/>
        <w:rPr>
          <w:sz w:val="16"/>
          <w:szCs w:val="16"/>
          <w:u w:val="single"/>
        </w:rPr>
      </w:pPr>
    </w:p>
    <w:p w:rsidR="00BE1988" w:rsidRDefault="00BE1988" w:rsidP="005F3407">
      <w:pPr>
        <w:pStyle w:val="BodyText"/>
        <w:tabs>
          <w:tab w:val="left" w:pos="426"/>
          <w:tab w:val="right" w:pos="4820"/>
        </w:tabs>
        <w:ind w:left="142" w:right="142"/>
        <w:jc w:val="both"/>
        <w:rPr>
          <w:sz w:val="16"/>
          <w:szCs w:val="16"/>
          <w:u w:val="single"/>
        </w:rPr>
      </w:pPr>
    </w:p>
    <w:p w:rsidR="00BE1988" w:rsidRPr="00BE1988" w:rsidRDefault="00BE1988" w:rsidP="005F3407">
      <w:pPr>
        <w:pStyle w:val="BodyText"/>
        <w:tabs>
          <w:tab w:val="left" w:pos="426"/>
          <w:tab w:val="right" w:pos="4820"/>
        </w:tabs>
        <w:ind w:left="142" w:right="142"/>
        <w:jc w:val="both"/>
        <w:rPr>
          <w:sz w:val="16"/>
          <w:szCs w:val="16"/>
          <w:u w:val="single"/>
        </w:rPr>
      </w:pPr>
    </w:p>
    <w:p w:rsidR="001905C1" w:rsidRPr="001905C1" w:rsidRDefault="001905C1" w:rsidP="001905C1">
      <w:pPr>
        <w:pStyle w:val="BodyText"/>
        <w:tabs>
          <w:tab w:val="left" w:pos="426"/>
          <w:tab w:val="right" w:pos="4820"/>
        </w:tabs>
        <w:ind w:left="142" w:right="142"/>
        <w:jc w:val="center"/>
        <w:rPr>
          <w:b/>
          <w:sz w:val="28"/>
          <w:szCs w:val="28"/>
        </w:rPr>
      </w:pPr>
      <w:r w:rsidRPr="001905C1">
        <w:rPr>
          <w:b/>
          <w:sz w:val="28"/>
          <w:szCs w:val="28"/>
        </w:rPr>
        <w:t>Residential Properties</w:t>
      </w:r>
    </w:p>
    <w:p w:rsidR="001905C1" w:rsidRDefault="001905C1" w:rsidP="005F3407">
      <w:pPr>
        <w:pStyle w:val="BodyText"/>
        <w:tabs>
          <w:tab w:val="left" w:pos="426"/>
          <w:tab w:val="right" w:pos="4820"/>
        </w:tabs>
        <w:ind w:left="142" w:right="142"/>
        <w:jc w:val="both"/>
        <w:rPr>
          <w:sz w:val="16"/>
          <w:szCs w:val="16"/>
          <w:u w:val="single"/>
        </w:rPr>
      </w:pPr>
    </w:p>
    <w:p w:rsidR="0077090E" w:rsidRDefault="001905C1" w:rsidP="009D26E6">
      <w:pPr>
        <w:pStyle w:val="BodyText"/>
        <w:tabs>
          <w:tab w:val="left" w:pos="426"/>
          <w:tab w:val="right" w:pos="4820"/>
        </w:tabs>
        <w:ind w:left="142" w:right="340"/>
        <w:jc w:val="both"/>
        <w:rPr>
          <w:szCs w:val="19"/>
        </w:rPr>
      </w:pPr>
      <w:r w:rsidRPr="001905C1">
        <w:rPr>
          <w:szCs w:val="19"/>
        </w:rPr>
        <w:tab/>
      </w:r>
      <w:r w:rsidRPr="00265471">
        <w:rPr>
          <w:b/>
          <w:szCs w:val="19"/>
        </w:rPr>
        <w:t>From</w:t>
      </w:r>
      <w:r>
        <w:rPr>
          <w:szCs w:val="19"/>
        </w:rPr>
        <w:t xml:space="preserve"> 1 April 2016, there will be two possible rates of Stamp Duty Land Tax on purchases of residential property.  The purchase of a main residence will still be charged at the rates introduced in December 2014, but other residential properties, such as a second home or buy-to-let, will be charged at rates </w:t>
      </w:r>
      <w:r w:rsidR="003A1743">
        <w:rPr>
          <w:szCs w:val="19"/>
        </w:rPr>
        <w:t>3</w:t>
      </w:r>
      <w:r>
        <w:rPr>
          <w:szCs w:val="19"/>
        </w:rPr>
        <w:t>% higher:</w:t>
      </w:r>
    </w:p>
    <w:p w:rsidR="001905C1" w:rsidRPr="001905C1" w:rsidRDefault="001905C1" w:rsidP="005F3407">
      <w:pPr>
        <w:pStyle w:val="BodyText"/>
        <w:tabs>
          <w:tab w:val="left" w:pos="426"/>
          <w:tab w:val="right" w:pos="4820"/>
        </w:tabs>
        <w:ind w:left="142" w:right="142"/>
        <w:jc w:val="both"/>
        <w:rPr>
          <w:sz w:val="16"/>
          <w:szCs w:val="16"/>
        </w:rPr>
      </w:pPr>
    </w:p>
    <w:p w:rsidR="001905C1" w:rsidRDefault="001905C1" w:rsidP="001905C1">
      <w:pPr>
        <w:pStyle w:val="BodyText"/>
        <w:tabs>
          <w:tab w:val="left" w:pos="426"/>
          <w:tab w:val="right" w:pos="2835"/>
          <w:tab w:val="right" w:pos="3969"/>
          <w:tab w:val="right" w:pos="4820"/>
        </w:tabs>
        <w:ind w:left="142" w:right="142"/>
        <w:jc w:val="both"/>
        <w:rPr>
          <w:szCs w:val="19"/>
        </w:rPr>
      </w:pPr>
      <w:r>
        <w:rPr>
          <w:szCs w:val="19"/>
        </w:rPr>
        <w:tab/>
      </w:r>
      <w:r>
        <w:rPr>
          <w:szCs w:val="19"/>
        </w:rPr>
        <w:tab/>
      </w:r>
      <w:r w:rsidRPr="001905C1">
        <w:rPr>
          <w:szCs w:val="19"/>
          <w:u w:val="single"/>
        </w:rPr>
        <w:t>Main residence</w:t>
      </w:r>
      <w:r>
        <w:rPr>
          <w:szCs w:val="19"/>
        </w:rPr>
        <w:t xml:space="preserve"> </w:t>
      </w:r>
      <w:r>
        <w:rPr>
          <w:szCs w:val="19"/>
        </w:rPr>
        <w:tab/>
      </w:r>
      <w:proofErr w:type="gramStart"/>
      <w:r w:rsidRPr="001905C1">
        <w:rPr>
          <w:szCs w:val="19"/>
          <w:u w:val="single"/>
        </w:rPr>
        <w:t>Other</w:t>
      </w:r>
      <w:proofErr w:type="gramEnd"/>
    </w:p>
    <w:p w:rsidR="001905C1" w:rsidRDefault="001905C1" w:rsidP="001905C1">
      <w:pPr>
        <w:pStyle w:val="BodyText"/>
        <w:tabs>
          <w:tab w:val="left" w:pos="426"/>
          <w:tab w:val="left" w:pos="2268"/>
          <w:tab w:val="left" w:pos="3402"/>
          <w:tab w:val="right" w:pos="4820"/>
        </w:tabs>
        <w:ind w:left="142" w:right="142"/>
        <w:jc w:val="both"/>
        <w:rPr>
          <w:szCs w:val="19"/>
        </w:rPr>
      </w:pPr>
      <w:r>
        <w:rPr>
          <w:szCs w:val="19"/>
        </w:rPr>
        <w:tab/>
      </w:r>
    </w:p>
    <w:p w:rsidR="001905C1" w:rsidRDefault="001905C1" w:rsidP="001905C1">
      <w:pPr>
        <w:pStyle w:val="BodyText"/>
        <w:tabs>
          <w:tab w:val="left" w:pos="426"/>
          <w:tab w:val="right" w:pos="2835"/>
          <w:tab w:val="right" w:pos="3969"/>
          <w:tab w:val="right" w:pos="4820"/>
        </w:tabs>
        <w:ind w:left="142" w:right="142"/>
        <w:jc w:val="both"/>
        <w:rPr>
          <w:szCs w:val="19"/>
        </w:rPr>
      </w:pPr>
      <w:r>
        <w:rPr>
          <w:szCs w:val="19"/>
        </w:rPr>
        <w:tab/>
        <w:t>Up to £125,000</w:t>
      </w:r>
      <w:r>
        <w:rPr>
          <w:szCs w:val="19"/>
        </w:rPr>
        <w:tab/>
        <w:t>0%</w:t>
      </w:r>
      <w:r>
        <w:rPr>
          <w:szCs w:val="19"/>
        </w:rPr>
        <w:tab/>
        <w:t>3%</w:t>
      </w:r>
    </w:p>
    <w:p w:rsidR="001905C1" w:rsidRDefault="001905C1" w:rsidP="001905C1">
      <w:pPr>
        <w:pStyle w:val="BodyText"/>
        <w:tabs>
          <w:tab w:val="left" w:pos="426"/>
          <w:tab w:val="right" w:pos="2835"/>
          <w:tab w:val="right" w:pos="3969"/>
          <w:tab w:val="right" w:pos="4820"/>
        </w:tabs>
        <w:ind w:left="142" w:right="142"/>
        <w:jc w:val="both"/>
        <w:rPr>
          <w:szCs w:val="19"/>
        </w:rPr>
      </w:pPr>
      <w:r>
        <w:rPr>
          <w:szCs w:val="19"/>
        </w:rPr>
        <w:tab/>
        <w:t>£125,001 to £250,000</w:t>
      </w:r>
      <w:r>
        <w:rPr>
          <w:szCs w:val="19"/>
        </w:rPr>
        <w:tab/>
        <w:t>2%</w:t>
      </w:r>
      <w:r>
        <w:rPr>
          <w:szCs w:val="19"/>
        </w:rPr>
        <w:tab/>
        <w:t>5%</w:t>
      </w:r>
    </w:p>
    <w:p w:rsidR="001905C1" w:rsidRDefault="001905C1" w:rsidP="001905C1">
      <w:pPr>
        <w:pStyle w:val="BodyText"/>
        <w:tabs>
          <w:tab w:val="left" w:pos="426"/>
          <w:tab w:val="right" w:pos="2835"/>
          <w:tab w:val="right" w:pos="3969"/>
          <w:tab w:val="right" w:pos="4820"/>
        </w:tabs>
        <w:ind w:left="142" w:right="142"/>
        <w:jc w:val="both"/>
        <w:rPr>
          <w:szCs w:val="19"/>
        </w:rPr>
      </w:pPr>
      <w:r>
        <w:rPr>
          <w:szCs w:val="19"/>
        </w:rPr>
        <w:tab/>
        <w:t>£250,001 to £925,000</w:t>
      </w:r>
      <w:r>
        <w:rPr>
          <w:szCs w:val="19"/>
        </w:rPr>
        <w:tab/>
        <w:t>5%</w:t>
      </w:r>
      <w:r>
        <w:rPr>
          <w:szCs w:val="19"/>
        </w:rPr>
        <w:tab/>
        <w:t>8%</w:t>
      </w:r>
    </w:p>
    <w:p w:rsidR="001905C1" w:rsidRDefault="001905C1" w:rsidP="001905C1">
      <w:pPr>
        <w:pStyle w:val="BodyText"/>
        <w:tabs>
          <w:tab w:val="left" w:pos="426"/>
          <w:tab w:val="right" w:pos="2835"/>
          <w:tab w:val="right" w:pos="3969"/>
          <w:tab w:val="right" w:pos="4820"/>
        </w:tabs>
        <w:ind w:left="142" w:right="142"/>
        <w:jc w:val="both"/>
        <w:rPr>
          <w:szCs w:val="19"/>
        </w:rPr>
      </w:pPr>
      <w:r>
        <w:rPr>
          <w:szCs w:val="19"/>
        </w:rPr>
        <w:tab/>
        <w:t>£925,001 to £1,500,000</w:t>
      </w:r>
      <w:r>
        <w:rPr>
          <w:szCs w:val="19"/>
        </w:rPr>
        <w:tab/>
        <w:t>10%</w:t>
      </w:r>
      <w:r>
        <w:rPr>
          <w:szCs w:val="19"/>
        </w:rPr>
        <w:tab/>
        <w:t>13%</w:t>
      </w:r>
    </w:p>
    <w:p w:rsidR="001905C1" w:rsidRPr="001905C1" w:rsidRDefault="001905C1" w:rsidP="001905C1">
      <w:pPr>
        <w:pStyle w:val="BodyText"/>
        <w:tabs>
          <w:tab w:val="left" w:pos="426"/>
          <w:tab w:val="right" w:pos="2835"/>
          <w:tab w:val="right" w:pos="3969"/>
          <w:tab w:val="right" w:pos="4820"/>
        </w:tabs>
        <w:ind w:left="142" w:right="142"/>
        <w:jc w:val="both"/>
        <w:rPr>
          <w:szCs w:val="19"/>
        </w:rPr>
      </w:pPr>
      <w:r>
        <w:rPr>
          <w:szCs w:val="19"/>
        </w:rPr>
        <w:tab/>
        <w:t>Over £1,500.000</w:t>
      </w:r>
      <w:r>
        <w:rPr>
          <w:szCs w:val="19"/>
        </w:rPr>
        <w:tab/>
        <w:t>12%</w:t>
      </w:r>
      <w:r>
        <w:rPr>
          <w:szCs w:val="19"/>
        </w:rPr>
        <w:tab/>
        <w:t>15%</w:t>
      </w:r>
    </w:p>
    <w:p w:rsidR="001905C1" w:rsidRPr="002D7BAD" w:rsidRDefault="001905C1" w:rsidP="001905C1">
      <w:pPr>
        <w:pStyle w:val="BodyText"/>
        <w:tabs>
          <w:tab w:val="left" w:pos="426"/>
          <w:tab w:val="right" w:pos="4820"/>
        </w:tabs>
        <w:ind w:left="142" w:right="142"/>
        <w:jc w:val="both"/>
        <w:rPr>
          <w:szCs w:val="19"/>
          <w:u w:val="single"/>
        </w:rPr>
      </w:pPr>
      <w:r w:rsidRPr="002D7BAD">
        <w:rPr>
          <w:szCs w:val="19"/>
          <w:u w:val="single"/>
        </w:rPr>
        <w:tab/>
      </w:r>
      <w:r w:rsidRPr="002D7BAD">
        <w:rPr>
          <w:szCs w:val="19"/>
          <w:u w:val="single"/>
        </w:rPr>
        <w:tab/>
      </w:r>
    </w:p>
    <w:p w:rsidR="0077090E" w:rsidRPr="002D7BAD" w:rsidRDefault="0077090E" w:rsidP="00B01BF2">
      <w:pPr>
        <w:pStyle w:val="BodyText"/>
        <w:tabs>
          <w:tab w:val="left" w:pos="567"/>
          <w:tab w:val="left" w:pos="2268"/>
          <w:tab w:val="right" w:pos="4820"/>
        </w:tabs>
        <w:ind w:left="142" w:right="340"/>
        <w:jc w:val="both"/>
        <w:rPr>
          <w:rFonts w:ascii="Antique Olive" w:hAnsi="Antique Olive"/>
          <w:szCs w:val="19"/>
        </w:rPr>
      </w:pPr>
    </w:p>
    <w:p w:rsidR="00AB6C94" w:rsidRPr="005F3407" w:rsidRDefault="005F3407" w:rsidP="00236486">
      <w:pPr>
        <w:pStyle w:val="BodyText"/>
        <w:tabs>
          <w:tab w:val="left" w:pos="426"/>
          <w:tab w:val="right" w:pos="4820"/>
        </w:tabs>
        <w:ind w:left="142" w:right="340"/>
        <w:jc w:val="center"/>
        <w:rPr>
          <w:rFonts w:ascii="Antique Olive" w:hAnsi="Antique Olive"/>
          <w:b/>
          <w:sz w:val="28"/>
          <w:szCs w:val="28"/>
        </w:rPr>
      </w:pPr>
      <w:r w:rsidRPr="005F3407">
        <w:rPr>
          <w:rFonts w:ascii="Antique Olive" w:hAnsi="Antique Olive"/>
          <w:b/>
          <w:sz w:val="28"/>
          <w:szCs w:val="28"/>
        </w:rPr>
        <w:t>Future Income Tax Changes</w:t>
      </w:r>
    </w:p>
    <w:p w:rsidR="00AB6C94" w:rsidRPr="005F3407" w:rsidRDefault="00AB6C94" w:rsidP="00AB6C94">
      <w:pPr>
        <w:pStyle w:val="BodyText"/>
        <w:tabs>
          <w:tab w:val="left" w:pos="426"/>
          <w:tab w:val="right" w:pos="4820"/>
        </w:tabs>
        <w:ind w:left="142" w:right="340"/>
        <w:jc w:val="both"/>
        <w:rPr>
          <w:rFonts w:ascii="Antique Olive" w:hAnsi="Antique Olive"/>
          <w:sz w:val="16"/>
          <w:szCs w:val="16"/>
        </w:rPr>
      </w:pPr>
    </w:p>
    <w:p w:rsidR="0077090E" w:rsidRPr="003C23B1" w:rsidRDefault="00151BE2" w:rsidP="009D26E6">
      <w:pPr>
        <w:pStyle w:val="BodyText"/>
        <w:tabs>
          <w:tab w:val="left" w:pos="426"/>
          <w:tab w:val="right" w:pos="4820"/>
        </w:tabs>
        <w:ind w:left="142" w:right="340"/>
        <w:jc w:val="both"/>
        <w:rPr>
          <w:szCs w:val="19"/>
        </w:rPr>
      </w:pPr>
      <w:r w:rsidRPr="001905C1">
        <w:rPr>
          <w:b/>
          <w:szCs w:val="19"/>
        </w:rPr>
        <w:tab/>
        <w:t>The</w:t>
      </w:r>
      <w:r w:rsidRPr="003C23B1">
        <w:rPr>
          <w:szCs w:val="19"/>
        </w:rPr>
        <w:t xml:space="preserve"> personal allowance will rise by £500 to £11,500 in 2017/18.  As the marriage allowance is fixed at 10% of that, it can be assumed that it will also rise by £50 to £1,150.</w:t>
      </w:r>
    </w:p>
    <w:p w:rsidR="00151BE2" w:rsidRDefault="00151BE2" w:rsidP="00F91C10">
      <w:pPr>
        <w:pStyle w:val="BodyText"/>
        <w:tabs>
          <w:tab w:val="left" w:pos="426"/>
          <w:tab w:val="right" w:pos="4820"/>
        </w:tabs>
        <w:ind w:left="142" w:right="142"/>
        <w:jc w:val="both"/>
        <w:rPr>
          <w:sz w:val="16"/>
          <w:szCs w:val="16"/>
        </w:rPr>
      </w:pPr>
    </w:p>
    <w:p w:rsidR="00151BE2" w:rsidRPr="003C23B1" w:rsidRDefault="00151BE2" w:rsidP="009D26E6">
      <w:pPr>
        <w:pStyle w:val="BodyText"/>
        <w:tabs>
          <w:tab w:val="left" w:pos="426"/>
          <w:tab w:val="right" w:pos="4820"/>
        </w:tabs>
        <w:ind w:left="142" w:right="340"/>
        <w:jc w:val="both"/>
        <w:rPr>
          <w:szCs w:val="19"/>
        </w:rPr>
      </w:pPr>
      <w:r w:rsidRPr="003C23B1">
        <w:rPr>
          <w:szCs w:val="19"/>
        </w:rPr>
        <w:tab/>
        <w:t>The basic-rate tax band will also be increased from £32,000 to £33,500.</w:t>
      </w:r>
    </w:p>
    <w:p w:rsidR="0077090E" w:rsidRDefault="0077090E" w:rsidP="00F91C10">
      <w:pPr>
        <w:pStyle w:val="BodyText"/>
        <w:tabs>
          <w:tab w:val="left" w:pos="426"/>
          <w:tab w:val="right" w:pos="4820"/>
        </w:tabs>
        <w:ind w:left="142" w:right="142"/>
        <w:jc w:val="both"/>
        <w:rPr>
          <w:sz w:val="16"/>
          <w:szCs w:val="16"/>
          <w:u w:val="single"/>
        </w:rPr>
      </w:pPr>
    </w:p>
    <w:p w:rsidR="0077090E" w:rsidRPr="003C23B1" w:rsidRDefault="003C23B1" w:rsidP="009D26E6">
      <w:pPr>
        <w:pStyle w:val="BodyText"/>
        <w:tabs>
          <w:tab w:val="left" w:pos="426"/>
          <w:tab w:val="right" w:pos="4820"/>
        </w:tabs>
        <w:ind w:left="142" w:right="340"/>
        <w:jc w:val="both"/>
        <w:rPr>
          <w:szCs w:val="19"/>
        </w:rPr>
      </w:pPr>
      <w:r w:rsidRPr="003C23B1">
        <w:rPr>
          <w:szCs w:val="19"/>
        </w:rPr>
        <w:tab/>
      </w:r>
      <w:r>
        <w:rPr>
          <w:szCs w:val="19"/>
        </w:rPr>
        <w:t>From 2017/18, there will be two tax exemptions for small traders with sales up to £1,000 and people with rental income up to £1,000.  Where sales or rent are more than £1,000, people will have the option of calculating their taxable profit by deducting the £1,000 from their income instead of actual expenses.  This seems like an acceptance that there are already many people who are not declaring small amounts of income from internet trading or Airb</w:t>
      </w:r>
      <w:r w:rsidR="00360E83">
        <w:rPr>
          <w:szCs w:val="19"/>
        </w:rPr>
        <w:t>n</w:t>
      </w:r>
      <w:r>
        <w:rPr>
          <w:szCs w:val="19"/>
        </w:rPr>
        <w:t>b, and it is easier to introduce this exemption than try to collect tax from them.</w:t>
      </w:r>
    </w:p>
    <w:p w:rsidR="00F91C10" w:rsidRPr="002D7BAD" w:rsidRDefault="00F91C10" w:rsidP="009D26E6">
      <w:pPr>
        <w:pStyle w:val="BodyText"/>
        <w:tabs>
          <w:tab w:val="left" w:pos="426"/>
          <w:tab w:val="right" w:pos="4820"/>
        </w:tabs>
        <w:ind w:left="142" w:right="142"/>
        <w:jc w:val="both"/>
        <w:rPr>
          <w:szCs w:val="19"/>
          <w:u w:val="single"/>
        </w:rPr>
      </w:pPr>
      <w:r w:rsidRPr="002D7BAD">
        <w:rPr>
          <w:szCs w:val="19"/>
          <w:u w:val="single"/>
        </w:rPr>
        <w:tab/>
      </w:r>
      <w:r w:rsidRPr="002D7BAD">
        <w:rPr>
          <w:szCs w:val="19"/>
          <w:u w:val="single"/>
        </w:rPr>
        <w:tab/>
      </w:r>
    </w:p>
    <w:p w:rsidR="00F91C10" w:rsidRPr="002D7BAD" w:rsidRDefault="00F91C10" w:rsidP="00F91C10">
      <w:pPr>
        <w:pStyle w:val="BodyText"/>
        <w:tabs>
          <w:tab w:val="left" w:pos="426"/>
          <w:tab w:val="right" w:pos="4777"/>
        </w:tabs>
        <w:ind w:left="142" w:right="142"/>
        <w:jc w:val="both"/>
        <w:rPr>
          <w:szCs w:val="19"/>
        </w:rPr>
      </w:pPr>
    </w:p>
    <w:p w:rsidR="00AB6C94" w:rsidRPr="00612236" w:rsidRDefault="00F91C10" w:rsidP="00F91C10">
      <w:pPr>
        <w:pStyle w:val="BodyText"/>
        <w:tabs>
          <w:tab w:val="left" w:pos="426"/>
          <w:tab w:val="right" w:pos="4820"/>
        </w:tabs>
        <w:ind w:left="142" w:right="340"/>
        <w:jc w:val="center"/>
        <w:rPr>
          <w:rFonts w:ascii="Antique Olive" w:hAnsi="Antique Olive"/>
          <w:b/>
          <w:sz w:val="28"/>
          <w:szCs w:val="28"/>
        </w:rPr>
      </w:pPr>
      <w:r w:rsidRPr="00612236">
        <w:rPr>
          <w:rFonts w:ascii="Antique Olive" w:hAnsi="Antique Olive"/>
          <w:b/>
          <w:sz w:val="28"/>
          <w:szCs w:val="28"/>
        </w:rPr>
        <w:t>B</w:t>
      </w:r>
      <w:r w:rsidR="003C23B1">
        <w:rPr>
          <w:rFonts w:ascii="Antique Olive" w:hAnsi="Antique Olive"/>
          <w:b/>
          <w:sz w:val="28"/>
          <w:szCs w:val="28"/>
        </w:rPr>
        <w:t>usiness Rates</w:t>
      </w:r>
    </w:p>
    <w:p w:rsidR="00B01BF2" w:rsidRDefault="00B01BF2" w:rsidP="00612236">
      <w:pPr>
        <w:pStyle w:val="BodyText"/>
        <w:tabs>
          <w:tab w:val="left" w:pos="426"/>
          <w:tab w:val="right" w:pos="4820"/>
        </w:tabs>
        <w:ind w:left="142" w:right="142"/>
        <w:jc w:val="both"/>
        <w:rPr>
          <w:sz w:val="16"/>
          <w:szCs w:val="16"/>
          <w:u w:val="single"/>
        </w:rPr>
      </w:pPr>
    </w:p>
    <w:p w:rsidR="0077090E" w:rsidRPr="003C23B1" w:rsidRDefault="003C23B1" w:rsidP="009D26E6">
      <w:pPr>
        <w:pStyle w:val="BodyText"/>
        <w:tabs>
          <w:tab w:val="left" w:pos="426"/>
          <w:tab w:val="right" w:pos="4820"/>
        </w:tabs>
        <w:ind w:left="142" w:right="340"/>
        <w:jc w:val="both"/>
        <w:rPr>
          <w:szCs w:val="19"/>
        </w:rPr>
      </w:pPr>
      <w:r w:rsidRPr="003C23B1">
        <w:rPr>
          <w:szCs w:val="19"/>
        </w:rPr>
        <w:tab/>
      </w:r>
      <w:r w:rsidRPr="0006757B">
        <w:rPr>
          <w:b/>
          <w:szCs w:val="19"/>
        </w:rPr>
        <w:t>100%</w:t>
      </w:r>
      <w:r>
        <w:rPr>
          <w:szCs w:val="19"/>
        </w:rPr>
        <w:t xml:space="preserve"> relief is currently available on business premises with a rateable value up to £6,000.  In April 2017, that limit will be increased to £12,000, with tapered relief up to £15,000.</w:t>
      </w:r>
    </w:p>
    <w:p w:rsidR="001905C1" w:rsidRPr="002D7BAD" w:rsidRDefault="001905C1" w:rsidP="001905C1">
      <w:pPr>
        <w:pStyle w:val="BodyText"/>
        <w:tabs>
          <w:tab w:val="left" w:pos="426"/>
          <w:tab w:val="right" w:pos="4820"/>
        </w:tabs>
        <w:ind w:left="142" w:right="142"/>
        <w:jc w:val="both"/>
        <w:rPr>
          <w:szCs w:val="19"/>
          <w:u w:val="single"/>
        </w:rPr>
      </w:pPr>
      <w:r w:rsidRPr="002D7BAD">
        <w:rPr>
          <w:szCs w:val="19"/>
          <w:u w:val="single"/>
        </w:rPr>
        <w:tab/>
      </w:r>
      <w:r w:rsidRPr="002D7BAD">
        <w:rPr>
          <w:szCs w:val="19"/>
          <w:u w:val="single"/>
        </w:rPr>
        <w:tab/>
      </w:r>
    </w:p>
    <w:p w:rsidR="0077090E" w:rsidRPr="002D7BAD" w:rsidRDefault="0077090E" w:rsidP="00612236">
      <w:pPr>
        <w:pStyle w:val="BodyText"/>
        <w:tabs>
          <w:tab w:val="left" w:pos="426"/>
          <w:tab w:val="right" w:pos="4820"/>
        </w:tabs>
        <w:ind w:left="142" w:right="142"/>
        <w:jc w:val="both"/>
        <w:rPr>
          <w:szCs w:val="19"/>
          <w:u w:val="single"/>
        </w:rPr>
      </w:pPr>
    </w:p>
    <w:p w:rsidR="00612236" w:rsidRPr="00EF65F9" w:rsidRDefault="0006757B" w:rsidP="00EF65F9">
      <w:pPr>
        <w:pStyle w:val="BodyText"/>
        <w:tabs>
          <w:tab w:val="left" w:pos="567"/>
          <w:tab w:val="right" w:pos="4820"/>
        </w:tabs>
        <w:ind w:right="340" w:firstLine="142"/>
        <w:jc w:val="center"/>
        <w:rPr>
          <w:rFonts w:ascii="Antique Olive" w:hAnsi="Antique Olive"/>
          <w:b/>
          <w:sz w:val="28"/>
          <w:szCs w:val="28"/>
        </w:rPr>
      </w:pPr>
      <w:r>
        <w:rPr>
          <w:rFonts w:ascii="Antique Olive" w:hAnsi="Antique Olive"/>
          <w:b/>
          <w:sz w:val="28"/>
          <w:szCs w:val="28"/>
        </w:rPr>
        <w:t>National Insurance</w:t>
      </w:r>
    </w:p>
    <w:p w:rsidR="00EF65F9" w:rsidRPr="00EF65F9" w:rsidRDefault="00EF65F9" w:rsidP="00612236">
      <w:pPr>
        <w:pStyle w:val="BodyText"/>
        <w:tabs>
          <w:tab w:val="left" w:pos="567"/>
          <w:tab w:val="right" w:pos="4820"/>
        </w:tabs>
        <w:ind w:right="340" w:firstLine="142"/>
        <w:jc w:val="both"/>
        <w:rPr>
          <w:rFonts w:ascii="Antique Olive" w:hAnsi="Antique Olive"/>
          <w:sz w:val="16"/>
          <w:szCs w:val="16"/>
        </w:rPr>
      </w:pPr>
    </w:p>
    <w:p w:rsidR="0077090E" w:rsidRPr="0006757B" w:rsidRDefault="0006757B" w:rsidP="009D26E6">
      <w:pPr>
        <w:pStyle w:val="BodyText"/>
        <w:tabs>
          <w:tab w:val="left" w:pos="426"/>
          <w:tab w:val="right" w:pos="4820"/>
        </w:tabs>
        <w:ind w:left="142" w:right="340"/>
        <w:jc w:val="both"/>
        <w:rPr>
          <w:szCs w:val="19"/>
        </w:rPr>
      </w:pPr>
      <w:r>
        <w:rPr>
          <w:szCs w:val="19"/>
        </w:rPr>
        <w:tab/>
      </w:r>
      <w:r w:rsidRPr="0006757B">
        <w:rPr>
          <w:b/>
          <w:szCs w:val="19"/>
        </w:rPr>
        <w:t>The</w:t>
      </w:r>
      <w:r>
        <w:rPr>
          <w:szCs w:val="19"/>
        </w:rPr>
        <w:t xml:space="preserve"> fixed weekly contribution for self-employed people (Class 2 NI) will be abolished in April 2018, so they will pay only Class 4, which is 9% on profits over £8,060.  It is currently the Class 2 contribution which earns entitlement to benefits, so there will have to be a change in the rules, presumably to make Class 4 the qualifying</w:t>
      </w:r>
      <w:r w:rsidR="00360E83">
        <w:rPr>
          <w:szCs w:val="19"/>
        </w:rPr>
        <w:t xml:space="preserve"> contribution</w:t>
      </w:r>
      <w:r>
        <w:rPr>
          <w:szCs w:val="19"/>
        </w:rPr>
        <w:t>.  There should also be some provision for low earners to make a voluntary contribution to preserve benefit entitlement.</w:t>
      </w:r>
    </w:p>
    <w:p w:rsidR="00EF65F9" w:rsidRDefault="00EF65F9" w:rsidP="00EF65F9">
      <w:pPr>
        <w:pStyle w:val="BodyText"/>
        <w:tabs>
          <w:tab w:val="left" w:pos="426"/>
          <w:tab w:val="right" w:pos="4820"/>
        </w:tabs>
        <w:ind w:left="142" w:right="142"/>
        <w:jc w:val="both"/>
        <w:rPr>
          <w:sz w:val="16"/>
          <w:szCs w:val="16"/>
        </w:rPr>
      </w:pPr>
    </w:p>
    <w:p w:rsidR="009D26E6" w:rsidRDefault="009D26E6" w:rsidP="00EF65F9">
      <w:pPr>
        <w:pStyle w:val="BodyText"/>
        <w:tabs>
          <w:tab w:val="left" w:pos="426"/>
          <w:tab w:val="right" w:pos="4820"/>
        </w:tabs>
        <w:ind w:left="142" w:right="142"/>
        <w:jc w:val="both"/>
        <w:rPr>
          <w:sz w:val="16"/>
          <w:szCs w:val="16"/>
        </w:rPr>
      </w:pPr>
    </w:p>
    <w:p w:rsidR="009D26E6" w:rsidRDefault="009D26E6" w:rsidP="00EF65F9">
      <w:pPr>
        <w:pStyle w:val="BodyText"/>
        <w:tabs>
          <w:tab w:val="left" w:pos="426"/>
          <w:tab w:val="right" w:pos="4820"/>
        </w:tabs>
        <w:ind w:left="142" w:right="142"/>
        <w:jc w:val="both"/>
        <w:rPr>
          <w:sz w:val="16"/>
          <w:szCs w:val="16"/>
        </w:rPr>
      </w:pPr>
    </w:p>
    <w:p w:rsidR="009D26E6" w:rsidRDefault="009D26E6" w:rsidP="00EF65F9">
      <w:pPr>
        <w:pStyle w:val="BodyText"/>
        <w:tabs>
          <w:tab w:val="left" w:pos="426"/>
          <w:tab w:val="right" w:pos="4820"/>
        </w:tabs>
        <w:ind w:left="142" w:right="142"/>
        <w:jc w:val="both"/>
        <w:rPr>
          <w:sz w:val="16"/>
          <w:szCs w:val="16"/>
        </w:rPr>
      </w:pPr>
    </w:p>
    <w:p w:rsidR="009D26E6" w:rsidRDefault="009D26E6" w:rsidP="00EF65F9">
      <w:pPr>
        <w:pStyle w:val="BodyText"/>
        <w:tabs>
          <w:tab w:val="left" w:pos="426"/>
          <w:tab w:val="right" w:pos="4820"/>
        </w:tabs>
        <w:ind w:left="142" w:right="142"/>
        <w:jc w:val="both"/>
        <w:rPr>
          <w:sz w:val="16"/>
          <w:szCs w:val="16"/>
        </w:rPr>
      </w:pPr>
    </w:p>
    <w:p w:rsidR="009D26E6" w:rsidRDefault="009D26E6" w:rsidP="00EF65F9">
      <w:pPr>
        <w:pStyle w:val="BodyText"/>
        <w:tabs>
          <w:tab w:val="left" w:pos="426"/>
          <w:tab w:val="right" w:pos="4820"/>
        </w:tabs>
        <w:ind w:left="142" w:right="142"/>
        <w:jc w:val="both"/>
        <w:rPr>
          <w:sz w:val="16"/>
          <w:szCs w:val="16"/>
        </w:rPr>
      </w:pPr>
    </w:p>
    <w:p w:rsidR="009D26E6" w:rsidRDefault="009D26E6" w:rsidP="00EF65F9">
      <w:pPr>
        <w:pStyle w:val="BodyText"/>
        <w:tabs>
          <w:tab w:val="left" w:pos="426"/>
          <w:tab w:val="right" w:pos="4820"/>
        </w:tabs>
        <w:ind w:left="142" w:right="142"/>
        <w:jc w:val="both"/>
        <w:rPr>
          <w:sz w:val="16"/>
          <w:szCs w:val="16"/>
        </w:rPr>
      </w:pPr>
    </w:p>
    <w:p w:rsidR="009D26E6" w:rsidRDefault="009D26E6" w:rsidP="00EF65F9">
      <w:pPr>
        <w:pStyle w:val="BodyText"/>
        <w:tabs>
          <w:tab w:val="left" w:pos="426"/>
          <w:tab w:val="right" w:pos="4820"/>
        </w:tabs>
        <w:ind w:left="142" w:right="142"/>
        <w:jc w:val="both"/>
        <w:rPr>
          <w:sz w:val="16"/>
          <w:szCs w:val="16"/>
        </w:rPr>
      </w:pPr>
    </w:p>
    <w:p w:rsidR="009D26E6" w:rsidRPr="00EF65F9" w:rsidRDefault="009D26E6" w:rsidP="00EF65F9">
      <w:pPr>
        <w:pStyle w:val="BodyText"/>
        <w:tabs>
          <w:tab w:val="left" w:pos="426"/>
          <w:tab w:val="right" w:pos="4820"/>
        </w:tabs>
        <w:ind w:left="142" w:right="142"/>
        <w:jc w:val="both"/>
        <w:rPr>
          <w:sz w:val="16"/>
          <w:szCs w:val="16"/>
        </w:rPr>
      </w:pPr>
    </w:p>
    <w:p w:rsidR="00E760B2" w:rsidRDefault="00E760B2">
      <w:pPr>
        <w:pStyle w:val="BodyText"/>
        <w:tabs>
          <w:tab w:val="left" w:pos="340"/>
          <w:tab w:val="right" w:pos="4777"/>
        </w:tabs>
        <w:ind w:right="283"/>
        <w:jc w:val="center"/>
        <w:outlineLvl w:val="0"/>
        <w:rPr>
          <w:rFonts w:ascii="Antique Olive" w:hAnsi="Antique Olive"/>
          <w:b/>
          <w:sz w:val="28"/>
        </w:rPr>
      </w:pPr>
      <w:r>
        <w:rPr>
          <w:rFonts w:ascii="Antique Olive" w:hAnsi="Antique Olive"/>
          <w:b/>
          <w:sz w:val="28"/>
        </w:rPr>
        <w:t xml:space="preserve">Income Tax changes for </w:t>
      </w:r>
      <w:r w:rsidR="00AB6C94">
        <w:rPr>
          <w:rFonts w:ascii="Antique Olive" w:hAnsi="Antique Olive"/>
          <w:b/>
          <w:sz w:val="28"/>
        </w:rPr>
        <w:t>201</w:t>
      </w:r>
      <w:r w:rsidR="0077090E">
        <w:rPr>
          <w:rFonts w:ascii="Antique Olive" w:hAnsi="Antique Olive"/>
          <w:b/>
          <w:sz w:val="28"/>
        </w:rPr>
        <w:t>6</w:t>
      </w:r>
      <w:r w:rsidR="00AB6C94">
        <w:rPr>
          <w:rFonts w:ascii="Antique Olive" w:hAnsi="Antique Olive"/>
          <w:b/>
          <w:sz w:val="28"/>
        </w:rPr>
        <w:t>/1</w:t>
      </w:r>
      <w:r w:rsidR="0077090E">
        <w:rPr>
          <w:rFonts w:ascii="Antique Olive" w:hAnsi="Antique Olive"/>
          <w:b/>
          <w:sz w:val="28"/>
        </w:rPr>
        <w:t>7</w:t>
      </w:r>
    </w:p>
    <w:p w:rsidR="00E760B2" w:rsidRDefault="00E760B2">
      <w:pPr>
        <w:pStyle w:val="BodyText"/>
        <w:tabs>
          <w:tab w:val="left" w:pos="340"/>
          <w:tab w:val="right" w:pos="4777"/>
        </w:tabs>
        <w:ind w:right="283"/>
        <w:jc w:val="both"/>
        <w:outlineLvl w:val="0"/>
        <w:rPr>
          <w:rFonts w:ascii="Antique Olive" w:hAnsi="Antique Olive"/>
          <w:sz w:val="16"/>
        </w:rPr>
      </w:pPr>
    </w:p>
    <w:p w:rsidR="00E760B2" w:rsidRDefault="00E760B2" w:rsidP="00A03233">
      <w:pPr>
        <w:tabs>
          <w:tab w:val="left" w:pos="426"/>
          <w:tab w:val="left" w:pos="2410"/>
          <w:tab w:val="left" w:pos="3402"/>
          <w:tab w:val="right" w:pos="10065"/>
        </w:tabs>
        <w:ind w:left="142" w:right="198"/>
        <w:jc w:val="both"/>
        <w:rPr>
          <w:rFonts w:ascii="Antique Olive" w:hAnsi="Antique Olive"/>
          <w:sz w:val="19"/>
        </w:rPr>
      </w:pPr>
      <w:r>
        <w:rPr>
          <w:rFonts w:ascii="Antique Olive" w:hAnsi="Antique Olive"/>
          <w:b/>
          <w:sz w:val="19"/>
        </w:rPr>
        <w:tab/>
        <w:t>Personal</w:t>
      </w:r>
      <w:r>
        <w:rPr>
          <w:rFonts w:ascii="Antique Olive" w:hAnsi="Antique Olive"/>
          <w:sz w:val="19"/>
        </w:rPr>
        <w:t xml:space="preserve"> allowances have been increased as promised for </w:t>
      </w:r>
      <w:r w:rsidR="00AB6C94">
        <w:rPr>
          <w:rFonts w:ascii="Antique Olive" w:hAnsi="Antique Olive"/>
          <w:sz w:val="19"/>
        </w:rPr>
        <w:t>201</w:t>
      </w:r>
      <w:r w:rsidR="0077090E">
        <w:rPr>
          <w:rFonts w:ascii="Antique Olive" w:hAnsi="Antique Olive"/>
          <w:sz w:val="19"/>
        </w:rPr>
        <w:t>6</w:t>
      </w:r>
      <w:r w:rsidR="00AB6C94">
        <w:rPr>
          <w:rFonts w:ascii="Antique Olive" w:hAnsi="Antique Olive"/>
          <w:sz w:val="19"/>
        </w:rPr>
        <w:t>/1</w:t>
      </w:r>
      <w:r w:rsidR="0077090E">
        <w:rPr>
          <w:rFonts w:ascii="Antique Olive" w:hAnsi="Antique Olive"/>
          <w:sz w:val="19"/>
        </w:rPr>
        <w:t>7</w:t>
      </w:r>
      <w:r>
        <w:rPr>
          <w:rFonts w:ascii="Antique Olive" w:hAnsi="Antique Olive"/>
          <w:sz w:val="19"/>
        </w:rPr>
        <w:t>:</w:t>
      </w:r>
    </w:p>
    <w:p w:rsidR="00E760B2" w:rsidRDefault="00E760B2" w:rsidP="00A03233">
      <w:pPr>
        <w:tabs>
          <w:tab w:val="left" w:pos="2694"/>
          <w:tab w:val="left" w:pos="3402"/>
          <w:tab w:val="left" w:pos="4820"/>
          <w:tab w:val="right" w:pos="10065"/>
        </w:tabs>
        <w:ind w:left="142" w:right="198"/>
        <w:jc w:val="both"/>
        <w:rPr>
          <w:rFonts w:ascii="Antique Olive" w:hAnsi="Antique Olive"/>
          <w:sz w:val="19"/>
        </w:rPr>
      </w:pPr>
      <w:r>
        <w:rPr>
          <w:rFonts w:ascii="Antique Olive" w:hAnsi="Antique Olive"/>
          <w:sz w:val="19"/>
        </w:rPr>
        <w:tab/>
      </w:r>
      <w:r>
        <w:rPr>
          <w:rFonts w:ascii="Antique Olive" w:hAnsi="Antique Olive"/>
          <w:sz w:val="19"/>
          <w:u w:val="single"/>
        </w:rPr>
        <w:t>Increase</w:t>
      </w:r>
      <w:r>
        <w:rPr>
          <w:rFonts w:ascii="Antique Olive" w:hAnsi="Antique Olive"/>
          <w:sz w:val="19"/>
        </w:rPr>
        <w:t xml:space="preserve">  </w:t>
      </w:r>
      <w:r>
        <w:rPr>
          <w:rFonts w:ascii="Antique Olive" w:hAnsi="Antique Olive"/>
          <w:sz w:val="19"/>
          <w:u w:val="single"/>
        </w:rPr>
        <w:t>New rate</w:t>
      </w:r>
      <w:r>
        <w:rPr>
          <w:rFonts w:ascii="Antique Olive" w:hAnsi="Antique Olive"/>
          <w:sz w:val="19"/>
        </w:rPr>
        <w:t xml:space="preserve">  </w:t>
      </w:r>
      <w:r w:rsidRPr="00897620">
        <w:rPr>
          <w:rFonts w:ascii="Antique Olive" w:hAnsi="Antique Olive"/>
          <w:sz w:val="19"/>
          <w:u w:val="single"/>
        </w:rPr>
        <w:t>N</w:t>
      </w:r>
      <w:r>
        <w:rPr>
          <w:rFonts w:ascii="Antique Olive" w:hAnsi="Antique Olive"/>
          <w:sz w:val="19"/>
          <w:u w:val="single"/>
        </w:rPr>
        <w:t>otes</w:t>
      </w:r>
    </w:p>
    <w:p w:rsidR="00E760B2" w:rsidRDefault="00E760B2">
      <w:pPr>
        <w:tabs>
          <w:tab w:val="decimal" w:pos="3119"/>
          <w:tab w:val="decimal" w:pos="3969"/>
          <w:tab w:val="left" w:pos="4536"/>
          <w:tab w:val="right" w:pos="10065"/>
        </w:tabs>
        <w:ind w:left="142"/>
        <w:jc w:val="both"/>
        <w:rPr>
          <w:rFonts w:ascii="Antique Olive" w:hAnsi="Antique Olive"/>
          <w:sz w:val="19"/>
        </w:rPr>
      </w:pPr>
      <w:r>
        <w:rPr>
          <w:rFonts w:ascii="Antique Olive" w:hAnsi="Antique Olive"/>
          <w:sz w:val="19"/>
        </w:rPr>
        <w:t xml:space="preserve">                                             </w:t>
      </w:r>
      <w:r>
        <w:rPr>
          <w:rFonts w:ascii="Antique Olive" w:hAnsi="Antique Olive"/>
          <w:sz w:val="19"/>
        </w:rPr>
        <w:tab/>
        <w:t xml:space="preserve">    £</w:t>
      </w:r>
      <w:r>
        <w:rPr>
          <w:rFonts w:ascii="Antique Olive" w:hAnsi="Antique Olive"/>
          <w:sz w:val="19"/>
        </w:rPr>
        <w:tab/>
        <w:t xml:space="preserve">    £</w:t>
      </w:r>
    </w:p>
    <w:p w:rsidR="002D7BAD" w:rsidRDefault="002D7BAD">
      <w:pPr>
        <w:tabs>
          <w:tab w:val="decimal" w:pos="3261"/>
          <w:tab w:val="decimal" w:pos="4137"/>
          <w:tab w:val="decimal" w:pos="4962"/>
          <w:tab w:val="decimal" w:pos="5670"/>
          <w:tab w:val="right" w:pos="10065"/>
        </w:tabs>
        <w:ind w:left="142"/>
        <w:jc w:val="both"/>
        <w:rPr>
          <w:rFonts w:ascii="Antique Olive" w:hAnsi="Antique Olive"/>
          <w:sz w:val="19"/>
        </w:rPr>
      </w:pPr>
    </w:p>
    <w:p w:rsidR="00E760B2" w:rsidRDefault="00E760B2">
      <w:pPr>
        <w:tabs>
          <w:tab w:val="decimal" w:pos="3261"/>
          <w:tab w:val="decimal" w:pos="4137"/>
          <w:tab w:val="decimal" w:pos="4962"/>
          <w:tab w:val="decimal" w:pos="5670"/>
          <w:tab w:val="right" w:pos="10065"/>
        </w:tabs>
        <w:ind w:left="142"/>
        <w:jc w:val="both"/>
        <w:rPr>
          <w:rFonts w:ascii="Antique Olive" w:hAnsi="Antique Olive"/>
          <w:sz w:val="19"/>
        </w:rPr>
      </w:pPr>
      <w:r>
        <w:rPr>
          <w:rFonts w:ascii="Antique Olive" w:hAnsi="Antique Olive"/>
          <w:sz w:val="19"/>
        </w:rPr>
        <w:t>Personal allowance</w:t>
      </w:r>
      <w:r>
        <w:rPr>
          <w:rFonts w:ascii="Antique Olive" w:hAnsi="Antique Olive"/>
          <w:sz w:val="19"/>
        </w:rPr>
        <w:tab/>
      </w:r>
      <w:r w:rsidR="00151BE2">
        <w:rPr>
          <w:rFonts w:ascii="Antique Olive" w:hAnsi="Antique Olive"/>
          <w:sz w:val="19"/>
        </w:rPr>
        <w:t>400</w:t>
      </w:r>
      <w:r w:rsidR="004E743B">
        <w:rPr>
          <w:rFonts w:ascii="Antique Olive" w:hAnsi="Antique Olive"/>
          <w:sz w:val="19"/>
        </w:rPr>
        <w:tab/>
      </w:r>
      <w:r w:rsidR="00151BE2">
        <w:rPr>
          <w:rFonts w:ascii="Antique Olive" w:hAnsi="Antique Olive"/>
          <w:sz w:val="19"/>
        </w:rPr>
        <w:t>11,000</w:t>
      </w:r>
      <w:r w:rsidR="004E743B">
        <w:rPr>
          <w:rFonts w:ascii="Antique Olive" w:hAnsi="Antique Olive"/>
          <w:sz w:val="19"/>
        </w:rPr>
        <w:tab/>
      </w:r>
      <w:r w:rsidR="00151BE2">
        <w:rPr>
          <w:rFonts w:ascii="Antique Olive" w:hAnsi="Antique Olive"/>
          <w:sz w:val="19"/>
        </w:rPr>
        <w:t>1</w:t>
      </w:r>
    </w:p>
    <w:p w:rsidR="0057622F" w:rsidRDefault="00151BE2">
      <w:pPr>
        <w:tabs>
          <w:tab w:val="left" w:pos="1560"/>
          <w:tab w:val="decimal" w:pos="3261"/>
          <w:tab w:val="decimal" w:pos="4137"/>
          <w:tab w:val="decimal" w:pos="4962"/>
          <w:tab w:val="decimal" w:pos="5670"/>
          <w:tab w:val="right" w:pos="10065"/>
        </w:tabs>
        <w:ind w:left="142"/>
        <w:jc w:val="both"/>
        <w:rPr>
          <w:rFonts w:ascii="Antique Olive" w:hAnsi="Antique Olive"/>
          <w:sz w:val="19"/>
        </w:rPr>
      </w:pPr>
      <w:r>
        <w:rPr>
          <w:rFonts w:ascii="Antique Olive" w:hAnsi="Antique Olive"/>
          <w:sz w:val="19"/>
        </w:rPr>
        <w:t>Marriage</w:t>
      </w:r>
      <w:r w:rsidR="00E760B2">
        <w:rPr>
          <w:rFonts w:ascii="Antique Olive" w:hAnsi="Antique Olive"/>
          <w:sz w:val="19"/>
        </w:rPr>
        <w:t xml:space="preserve"> allowance</w:t>
      </w:r>
      <w:r w:rsidR="00E760B2">
        <w:rPr>
          <w:rFonts w:ascii="Antique Olive" w:hAnsi="Antique Olive"/>
          <w:sz w:val="19"/>
        </w:rPr>
        <w:tab/>
      </w:r>
      <w:r>
        <w:rPr>
          <w:rFonts w:ascii="Antique Olive" w:hAnsi="Antique Olive"/>
          <w:sz w:val="19"/>
        </w:rPr>
        <w:t>40</w:t>
      </w:r>
      <w:r w:rsidR="009F71C5">
        <w:rPr>
          <w:rFonts w:ascii="Antique Olive" w:hAnsi="Antique Olive"/>
          <w:sz w:val="19"/>
        </w:rPr>
        <w:tab/>
      </w:r>
      <w:r>
        <w:rPr>
          <w:rFonts w:ascii="Antique Olive" w:hAnsi="Antique Olive"/>
          <w:sz w:val="19"/>
        </w:rPr>
        <w:t>1,100</w:t>
      </w:r>
      <w:r>
        <w:rPr>
          <w:rFonts w:ascii="Antique Olive" w:hAnsi="Antique Olive"/>
          <w:sz w:val="19"/>
        </w:rPr>
        <w:tab/>
        <w:t>2</w:t>
      </w:r>
    </w:p>
    <w:p w:rsidR="00E760B2" w:rsidRDefault="0057622F">
      <w:pPr>
        <w:tabs>
          <w:tab w:val="left" w:pos="1560"/>
          <w:tab w:val="decimal" w:pos="3261"/>
          <w:tab w:val="decimal" w:pos="4137"/>
          <w:tab w:val="decimal" w:pos="4962"/>
          <w:tab w:val="decimal" w:pos="5670"/>
          <w:tab w:val="right" w:pos="10065"/>
        </w:tabs>
        <w:ind w:left="142"/>
        <w:jc w:val="both"/>
        <w:rPr>
          <w:rFonts w:ascii="Antique Olive" w:hAnsi="Antique Olive"/>
          <w:sz w:val="19"/>
        </w:rPr>
      </w:pPr>
      <w:r>
        <w:rPr>
          <w:rFonts w:ascii="Antique Olive" w:hAnsi="Antique Olive"/>
          <w:sz w:val="19"/>
        </w:rPr>
        <w:t>Born before 6.4.3</w:t>
      </w:r>
      <w:r w:rsidR="00151BE2">
        <w:rPr>
          <w:rFonts w:ascii="Antique Olive" w:hAnsi="Antique Olive"/>
          <w:sz w:val="19"/>
        </w:rPr>
        <w:t>5</w:t>
      </w:r>
      <w:r w:rsidR="00E760B2">
        <w:rPr>
          <w:rFonts w:ascii="Antique Olive" w:hAnsi="Antique Olive"/>
          <w:sz w:val="19"/>
        </w:rPr>
        <w:tab/>
      </w:r>
      <w:r w:rsidR="004E743B">
        <w:rPr>
          <w:rFonts w:ascii="Antique Olive" w:hAnsi="Antique Olive"/>
          <w:sz w:val="19"/>
        </w:rPr>
        <w:tab/>
      </w:r>
      <w:r w:rsidR="004E743B">
        <w:rPr>
          <w:rFonts w:ascii="Antique Olive" w:hAnsi="Antique Olive"/>
          <w:sz w:val="19"/>
        </w:rPr>
        <w:tab/>
      </w:r>
      <w:r w:rsidR="00151BE2">
        <w:rPr>
          <w:rFonts w:ascii="Antique Olive" w:hAnsi="Antique Olive"/>
          <w:sz w:val="19"/>
        </w:rPr>
        <w:t>3</w:t>
      </w:r>
    </w:p>
    <w:p w:rsidR="00E760B2" w:rsidRDefault="003C23B1" w:rsidP="003C23B1">
      <w:pPr>
        <w:tabs>
          <w:tab w:val="left" w:pos="567"/>
          <w:tab w:val="left" w:pos="1985"/>
          <w:tab w:val="decimal" w:pos="3261"/>
          <w:tab w:val="decimal" w:pos="4137"/>
          <w:tab w:val="decimal" w:pos="4962"/>
          <w:tab w:val="decimal" w:pos="5670"/>
          <w:tab w:val="decimal" w:pos="6747"/>
          <w:tab w:val="right" w:pos="10065"/>
        </w:tabs>
        <w:ind w:left="142"/>
        <w:jc w:val="both"/>
        <w:rPr>
          <w:rFonts w:ascii="Antique Olive" w:hAnsi="Antique Olive"/>
          <w:sz w:val="19"/>
        </w:rPr>
      </w:pPr>
      <w:r>
        <w:rPr>
          <w:rFonts w:ascii="Antique Olive" w:hAnsi="Antique Olive"/>
          <w:sz w:val="19"/>
        </w:rPr>
        <w:tab/>
      </w:r>
      <w:r w:rsidR="00151BE2">
        <w:rPr>
          <w:rFonts w:ascii="Antique Olive" w:hAnsi="Antique Olive"/>
          <w:sz w:val="19"/>
        </w:rPr>
        <w:t>Married couples</w:t>
      </w:r>
      <w:r w:rsidR="00151BE2">
        <w:rPr>
          <w:rFonts w:ascii="Antique Olive" w:hAnsi="Antique Olive"/>
          <w:sz w:val="19"/>
        </w:rPr>
        <w:tab/>
        <w:t>maximum</w:t>
      </w:r>
      <w:r w:rsidR="00E760B2">
        <w:rPr>
          <w:rFonts w:ascii="Antique Olive" w:hAnsi="Antique Olive"/>
          <w:sz w:val="19"/>
        </w:rPr>
        <w:tab/>
      </w:r>
      <w:r w:rsidR="00151BE2">
        <w:rPr>
          <w:rFonts w:ascii="Antique Olive" w:hAnsi="Antique Olive"/>
          <w:sz w:val="19"/>
        </w:rPr>
        <w:t>0</w:t>
      </w:r>
      <w:r w:rsidR="004E743B">
        <w:rPr>
          <w:rFonts w:ascii="Antique Olive" w:hAnsi="Antique Olive"/>
          <w:sz w:val="19"/>
        </w:rPr>
        <w:tab/>
      </w:r>
      <w:r w:rsidR="00151BE2">
        <w:rPr>
          <w:rFonts w:ascii="Antique Olive" w:hAnsi="Antique Olive"/>
          <w:sz w:val="19"/>
        </w:rPr>
        <w:t>8,355</w:t>
      </w:r>
      <w:r w:rsidR="004E743B">
        <w:rPr>
          <w:rFonts w:ascii="Antique Olive" w:hAnsi="Antique Olive"/>
          <w:sz w:val="19"/>
        </w:rPr>
        <w:tab/>
      </w:r>
      <w:r w:rsidR="00151BE2">
        <w:rPr>
          <w:rFonts w:ascii="Antique Olive" w:hAnsi="Antique Olive"/>
          <w:sz w:val="19"/>
        </w:rPr>
        <w:t>4</w:t>
      </w:r>
    </w:p>
    <w:p w:rsidR="00E760B2" w:rsidRDefault="00151BE2" w:rsidP="003C23B1">
      <w:pPr>
        <w:pStyle w:val="BodyText2"/>
        <w:tabs>
          <w:tab w:val="clear" w:pos="1560"/>
          <w:tab w:val="clear" w:pos="2977"/>
          <w:tab w:val="clear" w:pos="3969"/>
          <w:tab w:val="left" w:pos="1985"/>
          <w:tab w:val="decimal" w:pos="3261"/>
          <w:tab w:val="decimal" w:pos="4137"/>
          <w:tab w:val="decimal" w:pos="4962"/>
          <w:tab w:val="decimal" w:pos="5670"/>
        </w:tabs>
        <w:ind w:left="142" w:right="142"/>
        <w:rPr>
          <w:rFonts w:ascii="Antique Olive" w:hAnsi="Antique Olive"/>
          <w:sz w:val="19"/>
        </w:rPr>
      </w:pPr>
      <w:r>
        <w:rPr>
          <w:rFonts w:ascii="Antique Olive" w:hAnsi="Antique Olive"/>
          <w:sz w:val="19"/>
        </w:rPr>
        <w:tab/>
      </w:r>
      <w:proofErr w:type="gramStart"/>
      <w:r w:rsidR="003C23B1">
        <w:rPr>
          <w:rFonts w:ascii="Antique Olive" w:hAnsi="Antique Olive"/>
          <w:sz w:val="19"/>
        </w:rPr>
        <w:t>m</w:t>
      </w:r>
      <w:r w:rsidR="00E760B2">
        <w:rPr>
          <w:rFonts w:ascii="Antique Olive" w:hAnsi="Antique Olive"/>
          <w:sz w:val="19"/>
        </w:rPr>
        <w:t>inimum</w:t>
      </w:r>
      <w:proofErr w:type="gramEnd"/>
      <w:r>
        <w:rPr>
          <w:rFonts w:ascii="Antique Olive" w:hAnsi="Antique Olive"/>
          <w:sz w:val="19"/>
        </w:rPr>
        <w:tab/>
        <w:t>0</w:t>
      </w:r>
      <w:r w:rsidR="002568A4">
        <w:rPr>
          <w:rFonts w:ascii="Antique Olive" w:hAnsi="Antique Olive"/>
          <w:sz w:val="19"/>
        </w:rPr>
        <w:tab/>
      </w:r>
      <w:r>
        <w:rPr>
          <w:rFonts w:ascii="Antique Olive" w:hAnsi="Antique Olive"/>
          <w:sz w:val="19"/>
        </w:rPr>
        <w:t>3,220</w:t>
      </w:r>
      <w:r w:rsidR="004E743B">
        <w:rPr>
          <w:rFonts w:ascii="Antique Olive" w:hAnsi="Antique Olive"/>
          <w:sz w:val="19"/>
        </w:rPr>
        <w:tab/>
      </w:r>
      <w:r>
        <w:rPr>
          <w:rFonts w:ascii="Antique Olive" w:hAnsi="Antique Olive"/>
          <w:sz w:val="19"/>
        </w:rPr>
        <w:t>4</w:t>
      </w:r>
    </w:p>
    <w:p w:rsidR="00E760B2" w:rsidRDefault="00360E83" w:rsidP="00360E83">
      <w:pPr>
        <w:tabs>
          <w:tab w:val="left" w:pos="567"/>
          <w:tab w:val="left" w:pos="1701"/>
          <w:tab w:val="decimal" w:pos="3261"/>
          <w:tab w:val="decimal" w:pos="4137"/>
          <w:tab w:val="decimal" w:pos="4962"/>
          <w:tab w:val="decimal" w:pos="5670"/>
          <w:tab w:val="right" w:pos="10065"/>
        </w:tabs>
        <w:ind w:left="142"/>
        <w:jc w:val="both"/>
        <w:rPr>
          <w:rFonts w:ascii="Antique Olive" w:hAnsi="Antique Olive"/>
          <w:sz w:val="19"/>
        </w:rPr>
      </w:pPr>
      <w:r>
        <w:rPr>
          <w:rFonts w:ascii="Antique Olive" w:hAnsi="Antique Olive"/>
          <w:sz w:val="19"/>
        </w:rPr>
        <w:tab/>
      </w:r>
      <w:r w:rsidR="00151BE2">
        <w:rPr>
          <w:rFonts w:ascii="Antique Olive" w:hAnsi="Antique Olive"/>
          <w:sz w:val="19"/>
        </w:rPr>
        <w:t>Income limit</w:t>
      </w:r>
      <w:r w:rsidR="00E760B2">
        <w:rPr>
          <w:rFonts w:ascii="Antique Olive" w:hAnsi="Antique Olive"/>
          <w:sz w:val="19"/>
        </w:rPr>
        <w:tab/>
      </w:r>
      <w:r w:rsidR="004E743B">
        <w:rPr>
          <w:rFonts w:ascii="Antique Olive" w:hAnsi="Antique Olive"/>
          <w:sz w:val="19"/>
        </w:rPr>
        <w:tab/>
      </w:r>
      <w:r w:rsidR="00151BE2">
        <w:rPr>
          <w:rFonts w:ascii="Antique Olive" w:hAnsi="Antique Olive"/>
          <w:sz w:val="19"/>
        </w:rPr>
        <w:t>0</w:t>
      </w:r>
      <w:r w:rsidR="00151BE2">
        <w:rPr>
          <w:rFonts w:ascii="Antique Olive" w:hAnsi="Antique Olive"/>
          <w:sz w:val="19"/>
        </w:rPr>
        <w:tab/>
        <w:t>27,000</w:t>
      </w:r>
    </w:p>
    <w:p w:rsidR="00E760B2" w:rsidRDefault="00E760B2">
      <w:pPr>
        <w:tabs>
          <w:tab w:val="left" w:pos="1843"/>
          <w:tab w:val="decimal" w:pos="3261"/>
          <w:tab w:val="decimal" w:pos="4137"/>
          <w:tab w:val="decimal" w:pos="4962"/>
          <w:tab w:val="decimal" w:pos="5670"/>
          <w:tab w:val="right" w:pos="10065"/>
        </w:tabs>
        <w:ind w:left="142" w:right="142"/>
        <w:jc w:val="both"/>
        <w:rPr>
          <w:rFonts w:ascii="Antique Olive" w:hAnsi="Antique Olive"/>
          <w:sz w:val="19"/>
        </w:rPr>
      </w:pPr>
      <w:r>
        <w:rPr>
          <w:rFonts w:ascii="Antique Olive" w:hAnsi="Antique Olive"/>
          <w:sz w:val="19"/>
        </w:rPr>
        <w:t>Blind person’s allowance</w:t>
      </w:r>
      <w:r>
        <w:rPr>
          <w:rFonts w:ascii="Antique Olive" w:hAnsi="Antique Olive"/>
          <w:sz w:val="19"/>
        </w:rPr>
        <w:tab/>
      </w:r>
      <w:r w:rsidR="00151BE2">
        <w:rPr>
          <w:rFonts w:ascii="Antique Olive" w:hAnsi="Antique Olive"/>
          <w:sz w:val="19"/>
        </w:rPr>
        <w:t>0</w:t>
      </w:r>
      <w:r w:rsidR="004E743B">
        <w:rPr>
          <w:rFonts w:ascii="Antique Olive" w:hAnsi="Antique Olive"/>
          <w:sz w:val="19"/>
        </w:rPr>
        <w:tab/>
      </w:r>
      <w:r w:rsidR="00151BE2">
        <w:rPr>
          <w:rFonts w:ascii="Antique Olive" w:hAnsi="Antique Olive"/>
          <w:sz w:val="19"/>
        </w:rPr>
        <w:t>2,290</w:t>
      </w:r>
    </w:p>
    <w:p w:rsidR="004E743B" w:rsidRDefault="00006A9E">
      <w:pPr>
        <w:tabs>
          <w:tab w:val="left" w:pos="1843"/>
          <w:tab w:val="decimal" w:pos="3261"/>
          <w:tab w:val="decimal" w:pos="4137"/>
          <w:tab w:val="decimal" w:pos="4962"/>
          <w:tab w:val="decimal" w:pos="5670"/>
          <w:tab w:val="right" w:pos="10065"/>
        </w:tabs>
        <w:ind w:left="142" w:right="142"/>
        <w:jc w:val="both"/>
        <w:rPr>
          <w:rFonts w:ascii="Antique Olive" w:hAnsi="Antique Olive"/>
          <w:sz w:val="19"/>
        </w:rPr>
      </w:pPr>
      <w:r>
        <w:rPr>
          <w:rFonts w:ascii="Antique Olive" w:hAnsi="Antique Olive"/>
          <w:sz w:val="19"/>
        </w:rPr>
        <w:t>Personal Savings Allowance</w:t>
      </w:r>
      <w:r w:rsidR="004E743B">
        <w:rPr>
          <w:rFonts w:ascii="Antique Olive" w:hAnsi="Antique Olive"/>
          <w:sz w:val="19"/>
        </w:rPr>
        <w:tab/>
      </w:r>
      <w:r w:rsidR="004E743B">
        <w:rPr>
          <w:rFonts w:ascii="Antique Olive" w:hAnsi="Antique Olive"/>
          <w:sz w:val="19"/>
        </w:rPr>
        <w:tab/>
      </w:r>
      <w:r w:rsidR="004E743B">
        <w:rPr>
          <w:rFonts w:ascii="Antique Olive" w:hAnsi="Antique Olive"/>
          <w:sz w:val="19"/>
        </w:rPr>
        <w:tab/>
      </w:r>
      <w:r>
        <w:rPr>
          <w:rFonts w:ascii="Antique Olive" w:hAnsi="Antique Olive"/>
          <w:sz w:val="19"/>
        </w:rPr>
        <w:t>5</w:t>
      </w:r>
    </w:p>
    <w:p w:rsidR="00006A9E" w:rsidRDefault="00006A9E">
      <w:pPr>
        <w:tabs>
          <w:tab w:val="left" w:pos="1843"/>
          <w:tab w:val="decimal" w:pos="3261"/>
          <w:tab w:val="decimal" w:pos="4137"/>
          <w:tab w:val="decimal" w:pos="4962"/>
          <w:tab w:val="decimal" w:pos="5670"/>
          <w:tab w:val="right" w:pos="10065"/>
        </w:tabs>
        <w:ind w:left="142" w:right="142"/>
        <w:jc w:val="both"/>
        <w:rPr>
          <w:rFonts w:ascii="Antique Olive" w:hAnsi="Antique Olive"/>
          <w:sz w:val="19"/>
        </w:rPr>
      </w:pPr>
      <w:r>
        <w:rPr>
          <w:rFonts w:ascii="Antique Olive" w:hAnsi="Antique Olive"/>
          <w:sz w:val="19"/>
        </w:rPr>
        <w:t>Basic-rate taxpayer</w:t>
      </w:r>
      <w:r>
        <w:rPr>
          <w:rFonts w:ascii="Antique Olive" w:hAnsi="Antique Olive"/>
          <w:sz w:val="19"/>
        </w:rPr>
        <w:tab/>
      </w:r>
      <w:r>
        <w:rPr>
          <w:rFonts w:ascii="Antique Olive" w:hAnsi="Antique Olive"/>
          <w:sz w:val="19"/>
        </w:rPr>
        <w:tab/>
      </w:r>
      <w:r>
        <w:rPr>
          <w:rFonts w:ascii="Antique Olive" w:hAnsi="Antique Olive"/>
          <w:sz w:val="19"/>
        </w:rPr>
        <w:tab/>
      </w:r>
      <w:r w:rsidR="003C23B1">
        <w:rPr>
          <w:rFonts w:ascii="Antique Olive" w:hAnsi="Antique Olive"/>
          <w:sz w:val="19"/>
        </w:rPr>
        <w:t>1</w:t>
      </w:r>
      <w:r>
        <w:rPr>
          <w:rFonts w:ascii="Antique Olive" w:hAnsi="Antique Olive"/>
          <w:sz w:val="19"/>
        </w:rPr>
        <w:t>,000</w:t>
      </w:r>
    </w:p>
    <w:p w:rsidR="00006A9E" w:rsidRDefault="00006A9E">
      <w:pPr>
        <w:tabs>
          <w:tab w:val="left" w:pos="1843"/>
          <w:tab w:val="decimal" w:pos="3261"/>
          <w:tab w:val="decimal" w:pos="4137"/>
          <w:tab w:val="decimal" w:pos="4962"/>
          <w:tab w:val="decimal" w:pos="5670"/>
          <w:tab w:val="right" w:pos="10065"/>
        </w:tabs>
        <w:ind w:left="142" w:right="142"/>
        <w:jc w:val="both"/>
        <w:rPr>
          <w:rFonts w:ascii="Antique Olive" w:hAnsi="Antique Olive"/>
          <w:sz w:val="19"/>
        </w:rPr>
      </w:pPr>
      <w:r>
        <w:rPr>
          <w:rFonts w:ascii="Antique Olive" w:hAnsi="Antique Olive"/>
          <w:sz w:val="19"/>
        </w:rPr>
        <w:t>Higher-rate taxpayer</w:t>
      </w:r>
      <w:r>
        <w:rPr>
          <w:rFonts w:ascii="Antique Olive" w:hAnsi="Antique Olive"/>
          <w:sz w:val="19"/>
        </w:rPr>
        <w:tab/>
      </w:r>
      <w:r>
        <w:rPr>
          <w:rFonts w:ascii="Antique Olive" w:hAnsi="Antique Olive"/>
          <w:sz w:val="19"/>
        </w:rPr>
        <w:tab/>
        <w:t>500</w:t>
      </w:r>
    </w:p>
    <w:p w:rsidR="00E760B2" w:rsidRPr="00B37140" w:rsidRDefault="00E760B2">
      <w:pPr>
        <w:pStyle w:val="BodyText"/>
        <w:tabs>
          <w:tab w:val="left" w:pos="340"/>
          <w:tab w:val="right" w:pos="4777"/>
        </w:tabs>
        <w:ind w:left="142" w:right="226"/>
        <w:jc w:val="both"/>
        <w:outlineLvl w:val="0"/>
        <w:rPr>
          <w:rFonts w:ascii="Antique Olive" w:hAnsi="Antique Olive"/>
          <w:b/>
          <w:i/>
          <w:sz w:val="16"/>
          <w:szCs w:val="16"/>
        </w:rPr>
      </w:pPr>
    </w:p>
    <w:p w:rsidR="00E760B2" w:rsidRDefault="00E760B2">
      <w:pPr>
        <w:pStyle w:val="BodyText"/>
        <w:tabs>
          <w:tab w:val="left" w:pos="340"/>
          <w:tab w:val="right" w:pos="4777"/>
        </w:tabs>
        <w:ind w:left="142" w:right="226"/>
        <w:jc w:val="both"/>
        <w:outlineLvl w:val="0"/>
        <w:rPr>
          <w:rFonts w:ascii="Antique Olive" w:hAnsi="Antique Olive"/>
          <w:i/>
          <w:sz w:val="20"/>
        </w:rPr>
      </w:pPr>
      <w:r>
        <w:rPr>
          <w:rFonts w:ascii="Antique Olive" w:hAnsi="Antique Olive"/>
          <w:b/>
          <w:i/>
          <w:sz w:val="20"/>
        </w:rPr>
        <w:t>Notes:</w:t>
      </w:r>
    </w:p>
    <w:p w:rsidR="00006A9E" w:rsidRDefault="00006A9E" w:rsidP="00006A9E">
      <w:pPr>
        <w:pStyle w:val="BodyText"/>
        <w:tabs>
          <w:tab w:val="left" w:pos="142"/>
          <w:tab w:val="left" w:pos="993"/>
          <w:tab w:val="left" w:pos="2127"/>
          <w:tab w:val="left" w:pos="3119"/>
          <w:tab w:val="left" w:pos="4111"/>
          <w:tab w:val="right" w:pos="4777"/>
        </w:tabs>
        <w:ind w:right="198"/>
        <w:jc w:val="both"/>
        <w:outlineLvl w:val="0"/>
        <w:rPr>
          <w:rFonts w:ascii="Antique Olive" w:hAnsi="Antique Olive"/>
          <w:i/>
        </w:rPr>
      </w:pPr>
    </w:p>
    <w:p w:rsidR="00006A9E" w:rsidRPr="004E743B" w:rsidRDefault="00006A9E" w:rsidP="00006A9E">
      <w:pPr>
        <w:pStyle w:val="BodyText"/>
        <w:numPr>
          <w:ilvl w:val="0"/>
          <w:numId w:val="23"/>
        </w:numPr>
        <w:tabs>
          <w:tab w:val="clear" w:pos="360"/>
          <w:tab w:val="num" w:pos="426"/>
          <w:tab w:val="right" w:pos="4777"/>
        </w:tabs>
        <w:ind w:left="426" w:right="198" w:hanging="284"/>
        <w:jc w:val="both"/>
        <w:rPr>
          <w:rFonts w:ascii="Antique Olive" w:hAnsi="Antique Olive"/>
        </w:rPr>
      </w:pPr>
      <w:r>
        <w:rPr>
          <w:rFonts w:ascii="Antique Olive" w:hAnsi="Antique Olive"/>
          <w:i/>
        </w:rPr>
        <w:t>The personal allowance is available in full only if income does not exceed £100,000.  If it does, the allowance is reduced by £1 for every £2 of the excess until £122,000, when it is lost completely.</w:t>
      </w:r>
    </w:p>
    <w:p w:rsidR="00006A9E" w:rsidRDefault="00006A9E" w:rsidP="00006A9E">
      <w:pPr>
        <w:pStyle w:val="BodyText"/>
        <w:tabs>
          <w:tab w:val="right" w:pos="4777"/>
        </w:tabs>
        <w:ind w:right="198"/>
        <w:jc w:val="both"/>
        <w:rPr>
          <w:rFonts w:ascii="Antique Olive" w:hAnsi="Antique Olive"/>
          <w:i/>
        </w:rPr>
      </w:pPr>
    </w:p>
    <w:p w:rsidR="00006A9E" w:rsidRDefault="00006A9E" w:rsidP="00006A9E">
      <w:pPr>
        <w:pStyle w:val="BodyText"/>
        <w:numPr>
          <w:ilvl w:val="0"/>
          <w:numId w:val="23"/>
        </w:numPr>
        <w:tabs>
          <w:tab w:val="clear" w:pos="360"/>
          <w:tab w:val="num" w:pos="426"/>
          <w:tab w:val="right" w:pos="4777"/>
        </w:tabs>
        <w:ind w:left="426" w:right="198" w:hanging="284"/>
        <w:jc w:val="both"/>
        <w:rPr>
          <w:rFonts w:ascii="Antique Olive" w:hAnsi="Antique Olive"/>
          <w:i/>
        </w:rPr>
      </w:pPr>
      <w:r>
        <w:rPr>
          <w:rFonts w:ascii="Antique Olive" w:hAnsi="Antique Olive"/>
          <w:i/>
        </w:rPr>
        <w:t>Marriage</w:t>
      </w:r>
      <w:r w:rsidRPr="004E743B">
        <w:rPr>
          <w:rFonts w:ascii="Antique Olive" w:hAnsi="Antique Olive"/>
          <w:i/>
        </w:rPr>
        <w:t xml:space="preserve"> allowance can be claimed by married couples or civil partners where one partner has income below the personal allowance and the other is not a higher-rate taxpayer.</w:t>
      </w:r>
    </w:p>
    <w:p w:rsidR="00006A9E" w:rsidRPr="004E743B" w:rsidRDefault="00006A9E" w:rsidP="00006A9E">
      <w:pPr>
        <w:pStyle w:val="BodyText"/>
        <w:tabs>
          <w:tab w:val="right" w:pos="4777"/>
        </w:tabs>
        <w:ind w:right="198"/>
        <w:jc w:val="both"/>
        <w:rPr>
          <w:rFonts w:ascii="Antique Olive" w:hAnsi="Antique Olive"/>
          <w:i/>
        </w:rPr>
      </w:pPr>
    </w:p>
    <w:p w:rsidR="00E760B2" w:rsidRDefault="00E760B2" w:rsidP="00A03233">
      <w:pPr>
        <w:pStyle w:val="BodyText"/>
        <w:numPr>
          <w:ilvl w:val="0"/>
          <w:numId w:val="23"/>
        </w:numPr>
        <w:tabs>
          <w:tab w:val="clear" w:pos="360"/>
          <w:tab w:val="num" w:pos="426"/>
          <w:tab w:val="right" w:pos="4777"/>
        </w:tabs>
        <w:ind w:left="426" w:right="198" w:hanging="284"/>
        <w:jc w:val="both"/>
        <w:rPr>
          <w:rFonts w:ascii="Antique Olive" w:hAnsi="Antique Olive"/>
          <w:i/>
        </w:rPr>
      </w:pPr>
      <w:r>
        <w:rPr>
          <w:rFonts w:ascii="Antique Olive" w:hAnsi="Antique Olive"/>
          <w:i/>
        </w:rPr>
        <w:t xml:space="preserve">The married couple’s allowance can be claimed only by those born before 6 April </w:t>
      </w:r>
      <w:r w:rsidR="00575865">
        <w:rPr>
          <w:rFonts w:ascii="Antique Olive" w:hAnsi="Antique Olive"/>
          <w:i/>
        </w:rPr>
        <w:t>1935.  If income exceeds</w:t>
      </w:r>
      <w:r w:rsidR="00006A9E">
        <w:rPr>
          <w:rFonts w:ascii="Antique Olive" w:hAnsi="Antique Olive"/>
          <w:i/>
        </w:rPr>
        <w:t xml:space="preserve"> the limit</w:t>
      </w:r>
      <w:r>
        <w:rPr>
          <w:rFonts w:ascii="Antique Olive" w:hAnsi="Antique Olive"/>
          <w:i/>
        </w:rPr>
        <w:t xml:space="preserve"> then the allowance is reduced by £1 for every £2 of the excess, until it equals the minimum amount.</w:t>
      </w:r>
    </w:p>
    <w:p w:rsidR="00E760B2" w:rsidRDefault="00E760B2">
      <w:pPr>
        <w:pStyle w:val="BodyText"/>
        <w:tabs>
          <w:tab w:val="left" w:pos="340"/>
          <w:tab w:val="right" w:pos="4777"/>
        </w:tabs>
        <w:ind w:right="142"/>
        <w:jc w:val="both"/>
        <w:outlineLvl w:val="0"/>
        <w:rPr>
          <w:rFonts w:ascii="Antique Olive" w:hAnsi="Antique Olive"/>
          <w:sz w:val="16"/>
        </w:rPr>
      </w:pPr>
    </w:p>
    <w:p w:rsidR="00E760B2" w:rsidRDefault="00E760B2">
      <w:pPr>
        <w:pStyle w:val="BodyText"/>
        <w:numPr>
          <w:ilvl w:val="0"/>
          <w:numId w:val="23"/>
        </w:numPr>
        <w:tabs>
          <w:tab w:val="clear" w:pos="360"/>
          <w:tab w:val="num" w:pos="426"/>
          <w:tab w:val="right" w:pos="4777"/>
        </w:tabs>
        <w:ind w:left="426" w:right="142" w:hanging="284"/>
        <w:jc w:val="both"/>
        <w:rPr>
          <w:rFonts w:ascii="Antique Olive" w:hAnsi="Antique Olive"/>
        </w:rPr>
      </w:pPr>
      <w:r>
        <w:rPr>
          <w:rFonts w:ascii="Antique Olive" w:hAnsi="Antique Olive"/>
          <w:i/>
        </w:rPr>
        <w:t>Tax relief is given at 10% on these allowances.</w:t>
      </w:r>
    </w:p>
    <w:p w:rsidR="004E743B" w:rsidRPr="004E743B" w:rsidRDefault="004E743B" w:rsidP="004E743B">
      <w:pPr>
        <w:pStyle w:val="ListParagraph"/>
        <w:rPr>
          <w:rFonts w:ascii="Antique Olive" w:hAnsi="Antique Olive"/>
          <w:sz w:val="16"/>
          <w:szCs w:val="16"/>
        </w:rPr>
      </w:pPr>
    </w:p>
    <w:p w:rsidR="004E743B" w:rsidRPr="004E743B" w:rsidRDefault="00C07063" w:rsidP="00A03233">
      <w:pPr>
        <w:pStyle w:val="BodyText"/>
        <w:numPr>
          <w:ilvl w:val="0"/>
          <w:numId w:val="23"/>
        </w:numPr>
        <w:tabs>
          <w:tab w:val="clear" w:pos="360"/>
          <w:tab w:val="num" w:pos="426"/>
          <w:tab w:val="right" w:pos="4777"/>
        </w:tabs>
        <w:ind w:left="426" w:right="198" w:hanging="284"/>
        <w:jc w:val="both"/>
        <w:rPr>
          <w:rFonts w:ascii="Antique Olive" w:hAnsi="Antique Olive"/>
          <w:i/>
        </w:rPr>
      </w:pPr>
      <w:r>
        <w:rPr>
          <w:rFonts w:ascii="Antique Olive" w:hAnsi="Antique Olive"/>
          <w:i/>
        </w:rPr>
        <w:t>The new Personal Savings Allowance applies to bank and other interest.  Banks will no longer deduct tax at source on interest.</w:t>
      </w:r>
    </w:p>
    <w:p w:rsidR="00E760B2" w:rsidRPr="004E743B" w:rsidRDefault="00E760B2">
      <w:pPr>
        <w:pStyle w:val="BodyText"/>
        <w:tabs>
          <w:tab w:val="left" w:pos="340"/>
          <w:tab w:val="right" w:pos="4777"/>
        </w:tabs>
        <w:ind w:right="142"/>
        <w:jc w:val="both"/>
        <w:outlineLvl w:val="0"/>
        <w:rPr>
          <w:rFonts w:ascii="Antique Olive" w:hAnsi="Antique Olive"/>
          <w:i/>
          <w:sz w:val="16"/>
        </w:rPr>
      </w:pPr>
    </w:p>
    <w:p w:rsidR="00E760B2" w:rsidRDefault="00E760B2" w:rsidP="00A03233">
      <w:pPr>
        <w:pStyle w:val="BodyText"/>
        <w:tabs>
          <w:tab w:val="left" w:pos="426"/>
          <w:tab w:val="right" w:pos="4777"/>
        </w:tabs>
        <w:ind w:left="142" w:right="198"/>
        <w:jc w:val="both"/>
        <w:rPr>
          <w:rFonts w:ascii="Antique Olive" w:hAnsi="Antique Olive"/>
        </w:rPr>
      </w:pPr>
      <w:r>
        <w:rPr>
          <w:rFonts w:ascii="Antique Olive" w:hAnsi="Antique Olive"/>
        </w:rPr>
        <w:tab/>
        <w:t>The basic rate of tax is still 20% and applies to the first £</w:t>
      </w:r>
      <w:r w:rsidR="004E743B">
        <w:rPr>
          <w:rFonts w:ascii="Antique Olive" w:hAnsi="Antique Olive"/>
        </w:rPr>
        <w:t>3</w:t>
      </w:r>
      <w:r w:rsidR="00C07063">
        <w:rPr>
          <w:rFonts w:ascii="Antique Olive" w:hAnsi="Antique Olive"/>
        </w:rPr>
        <w:t>2</w:t>
      </w:r>
      <w:r w:rsidR="004E743B">
        <w:rPr>
          <w:rFonts w:ascii="Antique Olive" w:hAnsi="Antique Olive"/>
        </w:rPr>
        <w:t>,</w:t>
      </w:r>
      <w:r w:rsidR="00C07063">
        <w:rPr>
          <w:rFonts w:ascii="Antique Olive" w:hAnsi="Antique Olive"/>
        </w:rPr>
        <w:t>000</w:t>
      </w:r>
      <w:r w:rsidR="004E743B">
        <w:rPr>
          <w:rFonts w:ascii="Antique Olive" w:hAnsi="Antique Olive"/>
        </w:rPr>
        <w:t xml:space="preserve"> o</w:t>
      </w:r>
      <w:r>
        <w:rPr>
          <w:rFonts w:ascii="Antique Olive" w:hAnsi="Antique Olive"/>
        </w:rPr>
        <w:t>f taxable income.  The next £</w:t>
      </w:r>
      <w:r w:rsidR="004E743B">
        <w:rPr>
          <w:rFonts w:ascii="Antique Olive" w:hAnsi="Antique Olive"/>
        </w:rPr>
        <w:t>118,</w:t>
      </w:r>
      <w:r w:rsidR="00C07063">
        <w:rPr>
          <w:rFonts w:ascii="Antique Olive" w:hAnsi="Antique Olive"/>
        </w:rPr>
        <w:t>000</w:t>
      </w:r>
      <w:r>
        <w:rPr>
          <w:rFonts w:ascii="Antique Olive" w:hAnsi="Antique Olive"/>
        </w:rPr>
        <w:t xml:space="preserve"> is taxable at the higher rate of 40%, </w:t>
      </w:r>
      <w:proofErr w:type="gramStart"/>
      <w:r>
        <w:rPr>
          <w:rFonts w:ascii="Antique Olive" w:hAnsi="Antique Olive"/>
        </w:rPr>
        <w:t>then</w:t>
      </w:r>
      <w:proofErr w:type="gramEnd"/>
      <w:r>
        <w:rPr>
          <w:rFonts w:ascii="Antique Olive" w:hAnsi="Antique Olive"/>
        </w:rPr>
        <w:t xml:space="preserve"> income over </w:t>
      </w:r>
      <w:r w:rsidR="00897620">
        <w:rPr>
          <w:rFonts w:ascii="Antique Olive" w:hAnsi="Antique Olive"/>
        </w:rPr>
        <w:t>£</w:t>
      </w:r>
      <w:r w:rsidR="004E743B">
        <w:rPr>
          <w:rFonts w:ascii="Antique Olive" w:hAnsi="Antique Olive"/>
        </w:rPr>
        <w:t>150,000 is taxable</w:t>
      </w:r>
      <w:r w:rsidR="00575865">
        <w:rPr>
          <w:rFonts w:ascii="Antique Olive" w:hAnsi="Antique Olive"/>
        </w:rPr>
        <w:t xml:space="preserve"> at the additional rate of 45</w:t>
      </w:r>
      <w:r>
        <w:rPr>
          <w:rFonts w:ascii="Antique Olive" w:hAnsi="Antique Olive"/>
        </w:rPr>
        <w:t>%</w:t>
      </w:r>
      <w:r w:rsidR="009F71C5">
        <w:rPr>
          <w:rFonts w:ascii="Antique Olive" w:hAnsi="Antique Olive"/>
        </w:rPr>
        <w:t xml:space="preserve">. </w:t>
      </w:r>
      <w:r>
        <w:rPr>
          <w:rFonts w:ascii="Antique Olive" w:hAnsi="Antique Olive"/>
        </w:rPr>
        <w:t>There are two exceptions to these rates:</w:t>
      </w:r>
    </w:p>
    <w:p w:rsidR="00A05A8F" w:rsidRDefault="00A05A8F">
      <w:pPr>
        <w:pStyle w:val="BodyText"/>
        <w:tabs>
          <w:tab w:val="left" w:pos="340"/>
          <w:tab w:val="right" w:pos="4777"/>
        </w:tabs>
        <w:ind w:right="142"/>
        <w:jc w:val="both"/>
        <w:outlineLvl w:val="0"/>
        <w:rPr>
          <w:rFonts w:ascii="Antique Olive" w:hAnsi="Antique Olive"/>
          <w:sz w:val="16"/>
        </w:rPr>
      </w:pPr>
    </w:p>
    <w:p w:rsidR="00E760B2" w:rsidRDefault="00C07063" w:rsidP="006D2AD0">
      <w:pPr>
        <w:pStyle w:val="BodyText"/>
        <w:numPr>
          <w:ilvl w:val="0"/>
          <w:numId w:val="28"/>
        </w:numPr>
        <w:tabs>
          <w:tab w:val="right" w:pos="4962"/>
        </w:tabs>
        <w:ind w:right="198" w:hanging="278"/>
        <w:jc w:val="both"/>
        <w:rPr>
          <w:rFonts w:ascii="Antique Olive" w:hAnsi="Antique Olive"/>
        </w:rPr>
      </w:pPr>
      <w:r>
        <w:rPr>
          <w:rFonts w:ascii="Antique Olive" w:hAnsi="Antique Olive"/>
        </w:rPr>
        <w:t xml:space="preserve">There is a new system for taxing dividends, which no longer carry a tax credit, but will still be treated at the top slice of income.  The first £5,000 is exempt, </w:t>
      </w:r>
      <w:proofErr w:type="gramStart"/>
      <w:r>
        <w:rPr>
          <w:rFonts w:ascii="Antique Olive" w:hAnsi="Antique Olive"/>
        </w:rPr>
        <w:t>then</w:t>
      </w:r>
      <w:proofErr w:type="gramEnd"/>
      <w:r>
        <w:rPr>
          <w:rFonts w:ascii="Antique Olive" w:hAnsi="Antique Olive"/>
        </w:rPr>
        <w:t xml:space="preserve"> the excess is taxed at 7.5% for basic-rate taxpayers, 32.5% for higher-rate taxpayers and 38.1% for additional rate taxpayers.</w:t>
      </w:r>
    </w:p>
    <w:p w:rsidR="00E760B2" w:rsidRDefault="00E760B2">
      <w:pPr>
        <w:pStyle w:val="BodyText"/>
        <w:tabs>
          <w:tab w:val="left" w:pos="340"/>
          <w:tab w:val="right" w:pos="4777"/>
        </w:tabs>
        <w:ind w:right="142"/>
        <w:jc w:val="both"/>
        <w:outlineLvl w:val="0"/>
        <w:rPr>
          <w:rFonts w:ascii="Antique Olive" w:hAnsi="Antique Olive"/>
          <w:sz w:val="16"/>
        </w:rPr>
      </w:pPr>
    </w:p>
    <w:p w:rsidR="00E760B2" w:rsidRDefault="00E760B2" w:rsidP="00BE1988">
      <w:pPr>
        <w:pStyle w:val="BodyText"/>
        <w:tabs>
          <w:tab w:val="right" w:pos="4962"/>
        </w:tabs>
        <w:ind w:left="426" w:right="198" w:hanging="284"/>
        <w:jc w:val="both"/>
      </w:pPr>
      <w:r w:rsidRPr="00B01BF2">
        <w:rPr>
          <w:rFonts w:ascii="Antique Olive" w:hAnsi="Antique Olive"/>
          <w:szCs w:val="19"/>
        </w:rPr>
        <w:t>2.</w:t>
      </w:r>
      <w:r w:rsidRPr="00B01BF2">
        <w:rPr>
          <w:rFonts w:ascii="Antique Olive" w:hAnsi="Antique Olive"/>
          <w:szCs w:val="19"/>
        </w:rPr>
        <w:tab/>
      </w:r>
      <w:r w:rsidR="00531F98" w:rsidRPr="00B01BF2">
        <w:rPr>
          <w:rFonts w:ascii="Antique Olive" w:hAnsi="Antique Olive"/>
          <w:szCs w:val="19"/>
        </w:rPr>
        <w:t>There is now</w:t>
      </w:r>
      <w:r w:rsidR="00B01BF2">
        <w:rPr>
          <w:rFonts w:ascii="Antique Olive" w:hAnsi="Antique Olive"/>
          <w:szCs w:val="19"/>
        </w:rPr>
        <w:t xml:space="preserve"> a 0%</w:t>
      </w:r>
      <w:r>
        <w:t xml:space="preserve"> tax rate up to £</w:t>
      </w:r>
      <w:r w:rsidR="004E743B">
        <w:t>5,000</w:t>
      </w:r>
      <w:r w:rsidR="009F71C5">
        <w:t xml:space="preserve"> </w:t>
      </w:r>
      <w:r>
        <w:t>on the savings income (generally bank interest) of people whose taxable non-savings income is below that level.</w:t>
      </w:r>
    </w:p>
    <w:p w:rsidR="00265471" w:rsidRDefault="00265471" w:rsidP="006D2AD0">
      <w:pPr>
        <w:pStyle w:val="BodyText"/>
        <w:tabs>
          <w:tab w:val="right" w:pos="4962"/>
        </w:tabs>
        <w:ind w:left="426" w:right="198" w:hanging="284"/>
        <w:jc w:val="both"/>
      </w:pPr>
    </w:p>
    <w:p w:rsidR="00265471" w:rsidRDefault="00265471" w:rsidP="006D2AD0">
      <w:pPr>
        <w:pStyle w:val="BodyText"/>
        <w:tabs>
          <w:tab w:val="right" w:pos="4962"/>
        </w:tabs>
        <w:ind w:left="426" w:right="198" w:hanging="284"/>
        <w:jc w:val="both"/>
      </w:pPr>
    </w:p>
    <w:p w:rsidR="00265471" w:rsidRDefault="00265471" w:rsidP="006D2AD0">
      <w:pPr>
        <w:pStyle w:val="BodyText"/>
        <w:tabs>
          <w:tab w:val="right" w:pos="4962"/>
        </w:tabs>
        <w:ind w:left="426" w:right="198" w:hanging="284"/>
        <w:jc w:val="both"/>
      </w:pPr>
    </w:p>
    <w:p w:rsidR="00265471" w:rsidRDefault="00265471" w:rsidP="006D2AD0">
      <w:pPr>
        <w:pStyle w:val="BodyText"/>
        <w:tabs>
          <w:tab w:val="right" w:pos="4962"/>
        </w:tabs>
        <w:ind w:left="426" w:right="198" w:hanging="284"/>
        <w:jc w:val="both"/>
      </w:pPr>
    </w:p>
    <w:p w:rsidR="00265471" w:rsidRDefault="00265471" w:rsidP="006D2AD0">
      <w:pPr>
        <w:pStyle w:val="BodyText"/>
        <w:tabs>
          <w:tab w:val="right" w:pos="4962"/>
        </w:tabs>
        <w:ind w:left="426" w:right="198" w:hanging="284"/>
        <w:jc w:val="both"/>
      </w:pPr>
    </w:p>
    <w:p w:rsidR="00265471" w:rsidRDefault="00265471" w:rsidP="006D2AD0">
      <w:pPr>
        <w:pStyle w:val="BodyText"/>
        <w:tabs>
          <w:tab w:val="right" w:pos="4962"/>
        </w:tabs>
        <w:ind w:left="426" w:right="198" w:hanging="284"/>
        <w:jc w:val="both"/>
      </w:pPr>
    </w:p>
    <w:p w:rsidR="00265471" w:rsidRDefault="00265471" w:rsidP="006D2AD0">
      <w:pPr>
        <w:pStyle w:val="BodyText"/>
        <w:tabs>
          <w:tab w:val="right" w:pos="4962"/>
        </w:tabs>
        <w:ind w:left="426" w:right="198" w:hanging="284"/>
        <w:jc w:val="both"/>
      </w:pPr>
    </w:p>
    <w:p w:rsidR="009D26E6" w:rsidRDefault="009D26E6" w:rsidP="006D2AD0">
      <w:pPr>
        <w:pStyle w:val="BodyText"/>
        <w:tabs>
          <w:tab w:val="right" w:pos="4962"/>
        </w:tabs>
        <w:ind w:left="426" w:right="198" w:hanging="284"/>
        <w:jc w:val="both"/>
      </w:pPr>
    </w:p>
    <w:p w:rsidR="009D26E6" w:rsidRDefault="009D26E6" w:rsidP="006D2AD0">
      <w:pPr>
        <w:pStyle w:val="BodyText"/>
        <w:tabs>
          <w:tab w:val="right" w:pos="4962"/>
        </w:tabs>
        <w:ind w:left="426" w:right="198" w:hanging="284"/>
        <w:jc w:val="both"/>
      </w:pPr>
    </w:p>
    <w:p w:rsidR="00265471" w:rsidRDefault="00265471" w:rsidP="006D2AD0">
      <w:pPr>
        <w:pStyle w:val="BodyText"/>
        <w:tabs>
          <w:tab w:val="right" w:pos="4962"/>
        </w:tabs>
        <w:ind w:left="426" w:right="198" w:hanging="284"/>
        <w:jc w:val="both"/>
        <w:rPr>
          <w:sz w:val="16"/>
          <w:szCs w:val="16"/>
        </w:rPr>
      </w:pPr>
    </w:p>
    <w:p w:rsidR="009E7C7A" w:rsidRDefault="009E7C7A" w:rsidP="006D2AD0">
      <w:pPr>
        <w:pStyle w:val="BodyText"/>
        <w:tabs>
          <w:tab w:val="right" w:pos="4962"/>
        </w:tabs>
        <w:ind w:left="426" w:right="198" w:hanging="284"/>
        <w:jc w:val="both"/>
        <w:rPr>
          <w:sz w:val="16"/>
          <w:szCs w:val="16"/>
        </w:rPr>
      </w:pPr>
    </w:p>
    <w:p w:rsidR="009E7C7A" w:rsidRDefault="009E7C7A" w:rsidP="006D2AD0">
      <w:pPr>
        <w:pStyle w:val="BodyText"/>
        <w:tabs>
          <w:tab w:val="right" w:pos="4962"/>
        </w:tabs>
        <w:ind w:left="426" w:right="198" w:hanging="284"/>
        <w:jc w:val="both"/>
        <w:rPr>
          <w:sz w:val="16"/>
          <w:szCs w:val="16"/>
        </w:rPr>
      </w:pPr>
    </w:p>
    <w:p w:rsidR="009E7C7A" w:rsidRPr="00612236" w:rsidRDefault="009E7C7A" w:rsidP="009E7C7A">
      <w:pPr>
        <w:pStyle w:val="BodyText"/>
        <w:tabs>
          <w:tab w:val="left" w:pos="567"/>
          <w:tab w:val="right" w:pos="4820"/>
        </w:tabs>
        <w:ind w:right="340" w:firstLine="142"/>
        <w:jc w:val="center"/>
        <w:rPr>
          <w:rFonts w:ascii="Antique Olive" w:hAnsi="Antique Olive"/>
          <w:b/>
          <w:sz w:val="28"/>
          <w:szCs w:val="28"/>
        </w:rPr>
      </w:pPr>
      <w:r>
        <w:rPr>
          <w:rFonts w:ascii="Antique Olive" w:hAnsi="Antique Olive"/>
          <w:b/>
          <w:sz w:val="28"/>
          <w:szCs w:val="28"/>
        </w:rPr>
        <w:t>Sugar Levy</w:t>
      </w:r>
    </w:p>
    <w:p w:rsidR="009E7C7A" w:rsidRPr="00612236" w:rsidRDefault="009E7C7A" w:rsidP="009E7C7A">
      <w:pPr>
        <w:pStyle w:val="BodyText"/>
        <w:tabs>
          <w:tab w:val="left" w:pos="567"/>
          <w:tab w:val="right" w:pos="4820"/>
        </w:tabs>
        <w:ind w:right="340" w:firstLine="142"/>
        <w:jc w:val="both"/>
        <w:rPr>
          <w:rFonts w:ascii="Antique Olive" w:hAnsi="Antique Olive"/>
          <w:sz w:val="16"/>
          <w:szCs w:val="16"/>
        </w:rPr>
      </w:pPr>
    </w:p>
    <w:p w:rsidR="009E7C7A" w:rsidRPr="003C23B1" w:rsidRDefault="009E7C7A" w:rsidP="009E7C7A">
      <w:pPr>
        <w:pStyle w:val="BodyText"/>
        <w:tabs>
          <w:tab w:val="left" w:pos="567"/>
          <w:tab w:val="left" w:pos="2268"/>
          <w:tab w:val="right" w:pos="4962"/>
        </w:tabs>
        <w:ind w:left="142" w:right="198"/>
        <w:jc w:val="both"/>
        <w:rPr>
          <w:rFonts w:ascii="Antique Olive" w:hAnsi="Antique Olive"/>
          <w:szCs w:val="19"/>
        </w:rPr>
      </w:pPr>
      <w:r w:rsidRPr="003C23B1">
        <w:rPr>
          <w:rFonts w:ascii="Antique Olive" w:hAnsi="Antique Olive"/>
          <w:szCs w:val="19"/>
        </w:rPr>
        <w:tab/>
      </w:r>
      <w:r w:rsidRPr="003C23B1">
        <w:rPr>
          <w:rFonts w:ascii="Antique Olive" w:hAnsi="Antique Olive"/>
          <w:b/>
          <w:szCs w:val="19"/>
        </w:rPr>
        <w:t>A</w:t>
      </w:r>
      <w:r w:rsidRPr="003C23B1">
        <w:rPr>
          <w:rFonts w:ascii="Antique Olive" w:hAnsi="Antique Olive"/>
          <w:szCs w:val="19"/>
        </w:rPr>
        <w:t xml:space="preserve"> levy on soft drinks with added sugar will be introduced in April 2018 and the money will </w:t>
      </w:r>
      <w:r>
        <w:rPr>
          <w:rFonts w:ascii="Antique Olive" w:hAnsi="Antique Olive"/>
          <w:szCs w:val="19"/>
        </w:rPr>
        <w:t>be used to support sport in primary schools.  There will be two rates, based on the level of sugar content, but the levy will not apply to milk-based drinks or fruit juices.</w:t>
      </w:r>
    </w:p>
    <w:p w:rsidR="00265471" w:rsidRPr="002D7BAD" w:rsidRDefault="00265471" w:rsidP="00265471">
      <w:pPr>
        <w:pStyle w:val="BodyText"/>
        <w:tabs>
          <w:tab w:val="left" w:pos="426"/>
          <w:tab w:val="right" w:pos="4962"/>
        </w:tabs>
        <w:ind w:left="142" w:right="142"/>
        <w:jc w:val="both"/>
        <w:rPr>
          <w:szCs w:val="19"/>
          <w:u w:val="single"/>
        </w:rPr>
      </w:pPr>
      <w:r w:rsidRPr="002D7BAD">
        <w:rPr>
          <w:szCs w:val="19"/>
          <w:u w:val="single"/>
        </w:rPr>
        <w:tab/>
      </w:r>
      <w:r w:rsidR="009E7C7A">
        <w:rPr>
          <w:szCs w:val="19"/>
          <w:u w:val="single"/>
        </w:rPr>
        <w:tab/>
      </w:r>
    </w:p>
    <w:p w:rsidR="00265471" w:rsidRPr="002D7BAD" w:rsidRDefault="00265471" w:rsidP="002D7BAD">
      <w:pPr>
        <w:pStyle w:val="BodyText"/>
        <w:tabs>
          <w:tab w:val="left" w:pos="426"/>
          <w:tab w:val="right" w:pos="4777"/>
        </w:tabs>
        <w:ind w:left="142" w:right="340"/>
        <w:jc w:val="both"/>
        <w:rPr>
          <w:szCs w:val="19"/>
        </w:rPr>
      </w:pPr>
    </w:p>
    <w:p w:rsidR="00E760B2" w:rsidRDefault="00E760B2" w:rsidP="00A03233">
      <w:pPr>
        <w:pStyle w:val="Subtitle"/>
        <w:tabs>
          <w:tab w:val="left" w:pos="851"/>
          <w:tab w:val="decimal" w:pos="2552"/>
          <w:tab w:val="decimal" w:pos="4253"/>
        </w:tabs>
        <w:ind w:left="142" w:right="283"/>
        <w:jc w:val="center"/>
        <w:rPr>
          <w:sz w:val="28"/>
        </w:rPr>
      </w:pPr>
      <w:r>
        <w:rPr>
          <w:sz w:val="28"/>
        </w:rPr>
        <w:t>Tax Credit Rates</w:t>
      </w:r>
    </w:p>
    <w:p w:rsidR="00E760B2" w:rsidRPr="00DC7B27" w:rsidRDefault="00E760B2" w:rsidP="00A03233">
      <w:pPr>
        <w:pStyle w:val="BodyText"/>
        <w:tabs>
          <w:tab w:val="left" w:pos="340"/>
          <w:tab w:val="right" w:pos="4777"/>
        </w:tabs>
        <w:ind w:left="142" w:right="283"/>
        <w:jc w:val="both"/>
        <w:outlineLvl w:val="0"/>
        <w:rPr>
          <w:rFonts w:ascii="Antique Olive" w:hAnsi="Antique Olive"/>
          <w:sz w:val="16"/>
          <w:szCs w:val="16"/>
        </w:rPr>
      </w:pPr>
    </w:p>
    <w:p w:rsidR="00E760B2" w:rsidRDefault="00E760B2" w:rsidP="00DB5761">
      <w:pPr>
        <w:pStyle w:val="Subtitle"/>
        <w:tabs>
          <w:tab w:val="left" w:pos="851"/>
          <w:tab w:val="left" w:pos="2977"/>
          <w:tab w:val="left" w:pos="4111"/>
        </w:tabs>
        <w:ind w:left="142" w:right="198"/>
        <w:rPr>
          <w:b w:val="0"/>
          <w:sz w:val="19"/>
        </w:rPr>
      </w:pPr>
      <w:r>
        <w:rPr>
          <w:b w:val="0"/>
          <w:sz w:val="19"/>
        </w:rPr>
        <w:tab/>
      </w:r>
      <w:r>
        <w:rPr>
          <w:b w:val="0"/>
          <w:sz w:val="19"/>
        </w:rPr>
        <w:tab/>
      </w:r>
      <w:r>
        <w:rPr>
          <w:b w:val="0"/>
          <w:sz w:val="19"/>
          <w:u w:val="single"/>
        </w:rPr>
        <w:t>Increase</w:t>
      </w:r>
      <w:r>
        <w:rPr>
          <w:b w:val="0"/>
          <w:sz w:val="19"/>
        </w:rPr>
        <w:tab/>
      </w:r>
      <w:r>
        <w:rPr>
          <w:b w:val="0"/>
          <w:sz w:val="19"/>
          <w:u w:val="single"/>
        </w:rPr>
        <w:t>201</w:t>
      </w:r>
      <w:r w:rsidR="0077090E">
        <w:rPr>
          <w:b w:val="0"/>
          <w:sz w:val="19"/>
          <w:u w:val="single"/>
        </w:rPr>
        <w:t>6</w:t>
      </w:r>
      <w:r>
        <w:rPr>
          <w:b w:val="0"/>
          <w:sz w:val="19"/>
          <w:u w:val="single"/>
        </w:rPr>
        <w:t>/1</w:t>
      </w:r>
      <w:r w:rsidR="0077090E">
        <w:rPr>
          <w:b w:val="0"/>
          <w:sz w:val="19"/>
          <w:u w:val="single"/>
        </w:rPr>
        <w:t>7</w:t>
      </w:r>
    </w:p>
    <w:p w:rsidR="00E760B2" w:rsidRDefault="00E760B2" w:rsidP="00DB5761">
      <w:pPr>
        <w:pStyle w:val="Subtitle"/>
        <w:tabs>
          <w:tab w:val="left" w:pos="851"/>
          <w:tab w:val="decimal" w:pos="2552"/>
          <w:tab w:val="decimal" w:pos="3544"/>
          <w:tab w:val="decimal" w:pos="4678"/>
        </w:tabs>
        <w:ind w:left="142" w:right="198"/>
        <w:rPr>
          <w:b w:val="0"/>
          <w:sz w:val="19"/>
        </w:rPr>
      </w:pPr>
      <w:r>
        <w:rPr>
          <w:b w:val="0"/>
          <w:sz w:val="19"/>
        </w:rPr>
        <w:tab/>
      </w:r>
      <w:r>
        <w:rPr>
          <w:b w:val="0"/>
          <w:sz w:val="19"/>
        </w:rPr>
        <w:tab/>
      </w:r>
      <w:r>
        <w:rPr>
          <w:b w:val="0"/>
          <w:sz w:val="19"/>
        </w:rPr>
        <w:tab/>
        <w:t>£</w:t>
      </w:r>
      <w:r>
        <w:rPr>
          <w:b w:val="0"/>
          <w:sz w:val="19"/>
        </w:rPr>
        <w:tab/>
        <w:t>£</w:t>
      </w:r>
    </w:p>
    <w:p w:rsidR="00E760B2" w:rsidRPr="00DC7B27" w:rsidRDefault="00E760B2" w:rsidP="00A03233">
      <w:pPr>
        <w:pStyle w:val="Subtitle"/>
        <w:tabs>
          <w:tab w:val="left" w:pos="851"/>
          <w:tab w:val="decimal" w:pos="2552"/>
          <w:tab w:val="decimal" w:pos="4253"/>
        </w:tabs>
        <w:ind w:left="142" w:right="283"/>
        <w:rPr>
          <w:b w:val="0"/>
          <w:sz w:val="16"/>
          <w:szCs w:val="16"/>
          <w:u w:val="single"/>
        </w:rPr>
      </w:pPr>
    </w:p>
    <w:p w:rsidR="00E760B2" w:rsidRDefault="00E760B2" w:rsidP="00A03233">
      <w:pPr>
        <w:pStyle w:val="Subtitle"/>
        <w:tabs>
          <w:tab w:val="left" w:pos="851"/>
          <w:tab w:val="decimal" w:pos="2552"/>
          <w:tab w:val="decimal" w:pos="4253"/>
        </w:tabs>
        <w:ind w:left="142" w:right="283"/>
        <w:rPr>
          <w:b w:val="0"/>
          <w:sz w:val="19"/>
          <w:u w:val="single"/>
        </w:rPr>
      </w:pPr>
      <w:r>
        <w:rPr>
          <w:b w:val="0"/>
          <w:sz w:val="19"/>
          <w:u w:val="single"/>
        </w:rPr>
        <w:t>Working Tax Credit</w:t>
      </w:r>
    </w:p>
    <w:p w:rsidR="00C07063" w:rsidRDefault="00E760B2" w:rsidP="00A03233">
      <w:pPr>
        <w:pStyle w:val="Subtitle"/>
        <w:tabs>
          <w:tab w:val="left" w:pos="851"/>
          <w:tab w:val="decimal" w:pos="3828"/>
          <w:tab w:val="decimal" w:pos="4820"/>
        </w:tabs>
        <w:ind w:left="142" w:right="283"/>
        <w:rPr>
          <w:b w:val="0"/>
          <w:sz w:val="19"/>
        </w:rPr>
      </w:pPr>
      <w:r>
        <w:rPr>
          <w:b w:val="0"/>
          <w:sz w:val="19"/>
        </w:rPr>
        <w:t>Basic element</w:t>
      </w:r>
      <w:r>
        <w:rPr>
          <w:b w:val="0"/>
          <w:sz w:val="19"/>
        </w:rPr>
        <w:tab/>
      </w:r>
      <w:r w:rsidR="00C07063">
        <w:rPr>
          <w:b w:val="0"/>
          <w:sz w:val="19"/>
        </w:rPr>
        <w:t>0</w:t>
      </w:r>
      <w:r w:rsidR="00C07063">
        <w:rPr>
          <w:b w:val="0"/>
          <w:sz w:val="19"/>
        </w:rPr>
        <w:tab/>
        <w:t>1,960</w:t>
      </w:r>
    </w:p>
    <w:p w:rsidR="00C47F79" w:rsidRDefault="00C07063" w:rsidP="00A03233">
      <w:pPr>
        <w:pStyle w:val="Subtitle"/>
        <w:tabs>
          <w:tab w:val="left" w:pos="851"/>
          <w:tab w:val="decimal" w:pos="3828"/>
          <w:tab w:val="decimal" w:pos="4820"/>
        </w:tabs>
        <w:ind w:left="142" w:right="283"/>
        <w:rPr>
          <w:b w:val="0"/>
          <w:sz w:val="19"/>
        </w:rPr>
      </w:pPr>
      <w:r>
        <w:rPr>
          <w:b w:val="0"/>
          <w:sz w:val="19"/>
        </w:rPr>
        <w:t>Coupl</w:t>
      </w:r>
      <w:r w:rsidR="00E760B2">
        <w:rPr>
          <w:b w:val="0"/>
          <w:sz w:val="19"/>
        </w:rPr>
        <w:t>e and lone parent element</w:t>
      </w:r>
      <w:r w:rsidR="00E760B2">
        <w:rPr>
          <w:b w:val="0"/>
          <w:sz w:val="19"/>
        </w:rPr>
        <w:tab/>
      </w:r>
      <w:r>
        <w:rPr>
          <w:b w:val="0"/>
          <w:sz w:val="19"/>
        </w:rPr>
        <w:t>0</w:t>
      </w:r>
      <w:r w:rsidR="009F71C5">
        <w:rPr>
          <w:b w:val="0"/>
          <w:sz w:val="19"/>
        </w:rPr>
        <w:tab/>
      </w:r>
      <w:r>
        <w:rPr>
          <w:b w:val="0"/>
          <w:sz w:val="19"/>
        </w:rPr>
        <w:t>2,010</w:t>
      </w:r>
    </w:p>
    <w:p w:rsidR="00E760B2" w:rsidRDefault="00E760B2" w:rsidP="00F4599C">
      <w:pPr>
        <w:pStyle w:val="Subtitle"/>
        <w:tabs>
          <w:tab w:val="left" w:pos="851"/>
          <w:tab w:val="decimal" w:pos="3828"/>
          <w:tab w:val="decimal" w:pos="4820"/>
        </w:tabs>
        <w:ind w:left="142" w:right="283"/>
        <w:rPr>
          <w:b w:val="0"/>
          <w:sz w:val="19"/>
        </w:rPr>
      </w:pPr>
      <w:r>
        <w:rPr>
          <w:b w:val="0"/>
          <w:sz w:val="19"/>
        </w:rPr>
        <w:t>30 hour element</w:t>
      </w:r>
      <w:r>
        <w:rPr>
          <w:b w:val="0"/>
          <w:sz w:val="19"/>
        </w:rPr>
        <w:tab/>
      </w:r>
      <w:r w:rsidR="00C07063">
        <w:rPr>
          <w:b w:val="0"/>
          <w:sz w:val="19"/>
        </w:rPr>
        <w:t>0</w:t>
      </w:r>
      <w:r w:rsidR="009F71C5">
        <w:rPr>
          <w:b w:val="0"/>
          <w:sz w:val="19"/>
        </w:rPr>
        <w:tab/>
      </w:r>
      <w:r w:rsidR="00C07063">
        <w:rPr>
          <w:b w:val="0"/>
          <w:sz w:val="19"/>
        </w:rPr>
        <w:t>810</w:t>
      </w:r>
    </w:p>
    <w:p w:rsidR="00E760B2" w:rsidRDefault="00E760B2" w:rsidP="00A03233">
      <w:pPr>
        <w:pStyle w:val="Subtitle"/>
        <w:tabs>
          <w:tab w:val="left" w:pos="851"/>
          <w:tab w:val="decimal" w:pos="3828"/>
          <w:tab w:val="decimal" w:pos="4820"/>
        </w:tabs>
        <w:ind w:left="142" w:right="283"/>
        <w:rPr>
          <w:b w:val="0"/>
          <w:sz w:val="19"/>
        </w:rPr>
      </w:pPr>
      <w:r>
        <w:rPr>
          <w:b w:val="0"/>
          <w:sz w:val="19"/>
        </w:rPr>
        <w:t>Disabled worker element</w:t>
      </w:r>
      <w:r>
        <w:rPr>
          <w:b w:val="0"/>
          <w:sz w:val="19"/>
        </w:rPr>
        <w:tab/>
      </w:r>
      <w:r w:rsidR="00C07063">
        <w:rPr>
          <w:b w:val="0"/>
          <w:sz w:val="19"/>
        </w:rPr>
        <w:t>0</w:t>
      </w:r>
      <w:r w:rsidR="009F71C5">
        <w:rPr>
          <w:b w:val="0"/>
          <w:sz w:val="19"/>
        </w:rPr>
        <w:tab/>
      </w:r>
      <w:r w:rsidR="00C07063">
        <w:rPr>
          <w:b w:val="0"/>
          <w:sz w:val="19"/>
        </w:rPr>
        <w:t>2,970</w:t>
      </w:r>
    </w:p>
    <w:p w:rsidR="00E760B2" w:rsidRDefault="00E760B2" w:rsidP="00A03233">
      <w:pPr>
        <w:pStyle w:val="Subtitle"/>
        <w:tabs>
          <w:tab w:val="left" w:pos="851"/>
          <w:tab w:val="decimal" w:pos="3828"/>
          <w:tab w:val="decimal" w:pos="4820"/>
        </w:tabs>
        <w:ind w:left="142" w:right="283"/>
        <w:rPr>
          <w:b w:val="0"/>
          <w:sz w:val="19"/>
        </w:rPr>
      </w:pPr>
      <w:r>
        <w:rPr>
          <w:b w:val="0"/>
          <w:sz w:val="19"/>
        </w:rPr>
        <w:t>Severe disabi</w:t>
      </w:r>
      <w:r w:rsidR="00575865">
        <w:rPr>
          <w:b w:val="0"/>
          <w:sz w:val="19"/>
        </w:rPr>
        <w:t>lity element</w:t>
      </w:r>
      <w:r w:rsidR="009F71C5">
        <w:rPr>
          <w:b w:val="0"/>
          <w:sz w:val="19"/>
        </w:rPr>
        <w:tab/>
      </w:r>
      <w:r w:rsidR="00C07063">
        <w:rPr>
          <w:b w:val="0"/>
          <w:sz w:val="19"/>
        </w:rPr>
        <w:t>0</w:t>
      </w:r>
      <w:r w:rsidR="009F71C5">
        <w:rPr>
          <w:b w:val="0"/>
          <w:sz w:val="19"/>
        </w:rPr>
        <w:tab/>
      </w:r>
      <w:r w:rsidR="00C07063">
        <w:rPr>
          <w:b w:val="0"/>
          <w:sz w:val="19"/>
        </w:rPr>
        <w:t>1,275</w:t>
      </w:r>
    </w:p>
    <w:p w:rsidR="00E760B2" w:rsidRDefault="00E760B2" w:rsidP="00A03233">
      <w:pPr>
        <w:pStyle w:val="BodyText"/>
        <w:tabs>
          <w:tab w:val="left" w:pos="340"/>
          <w:tab w:val="right" w:pos="4777"/>
          <w:tab w:val="decimal" w:pos="4820"/>
        </w:tabs>
        <w:ind w:left="142" w:right="283"/>
        <w:jc w:val="both"/>
        <w:outlineLvl w:val="0"/>
        <w:rPr>
          <w:rFonts w:ascii="Antique Olive" w:hAnsi="Antique Olive"/>
          <w:sz w:val="16"/>
        </w:rPr>
      </w:pPr>
    </w:p>
    <w:p w:rsidR="00E760B2" w:rsidRDefault="00E760B2" w:rsidP="00A03233">
      <w:pPr>
        <w:pStyle w:val="Subtitle"/>
        <w:tabs>
          <w:tab w:val="left" w:pos="851"/>
          <w:tab w:val="decimal" w:pos="3969"/>
          <w:tab w:val="decimal" w:pos="4820"/>
        </w:tabs>
        <w:ind w:left="142"/>
        <w:rPr>
          <w:b w:val="0"/>
          <w:sz w:val="19"/>
          <w:u w:val="single"/>
        </w:rPr>
      </w:pPr>
      <w:r>
        <w:rPr>
          <w:b w:val="0"/>
          <w:sz w:val="19"/>
          <w:u w:val="single"/>
        </w:rPr>
        <w:t>Child Tax Credit</w:t>
      </w:r>
    </w:p>
    <w:p w:rsidR="00C47F79" w:rsidRDefault="00E760B2" w:rsidP="00A03233">
      <w:pPr>
        <w:pStyle w:val="Subtitle"/>
        <w:tabs>
          <w:tab w:val="left" w:pos="851"/>
          <w:tab w:val="decimal" w:pos="3828"/>
          <w:tab w:val="decimal" w:pos="4820"/>
        </w:tabs>
        <w:ind w:left="142"/>
        <w:rPr>
          <w:b w:val="0"/>
          <w:sz w:val="19"/>
        </w:rPr>
      </w:pPr>
      <w:r>
        <w:rPr>
          <w:b w:val="0"/>
          <w:sz w:val="19"/>
        </w:rPr>
        <w:t>Family element</w:t>
      </w:r>
      <w:r>
        <w:rPr>
          <w:b w:val="0"/>
          <w:sz w:val="19"/>
        </w:rPr>
        <w:tab/>
      </w:r>
      <w:r w:rsidR="00C07063">
        <w:rPr>
          <w:b w:val="0"/>
          <w:sz w:val="19"/>
        </w:rPr>
        <w:t>0</w:t>
      </w:r>
      <w:r w:rsidR="009F71C5">
        <w:rPr>
          <w:b w:val="0"/>
          <w:sz w:val="19"/>
        </w:rPr>
        <w:tab/>
      </w:r>
      <w:r w:rsidR="00C07063">
        <w:rPr>
          <w:b w:val="0"/>
          <w:sz w:val="19"/>
        </w:rPr>
        <w:t>545</w:t>
      </w:r>
    </w:p>
    <w:p w:rsidR="00E760B2" w:rsidRDefault="00E760B2" w:rsidP="00A03233">
      <w:pPr>
        <w:pStyle w:val="Subtitle"/>
        <w:tabs>
          <w:tab w:val="left" w:pos="851"/>
          <w:tab w:val="decimal" w:pos="3828"/>
          <w:tab w:val="decimal" w:pos="4820"/>
        </w:tabs>
        <w:ind w:left="142"/>
        <w:rPr>
          <w:b w:val="0"/>
          <w:sz w:val="19"/>
        </w:rPr>
      </w:pPr>
      <w:r>
        <w:rPr>
          <w:b w:val="0"/>
          <w:sz w:val="19"/>
        </w:rPr>
        <w:t>Child element</w:t>
      </w:r>
      <w:r>
        <w:rPr>
          <w:b w:val="0"/>
          <w:sz w:val="19"/>
        </w:rPr>
        <w:tab/>
      </w:r>
      <w:r w:rsidR="00C07063">
        <w:rPr>
          <w:b w:val="0"/>
          <w:sz w:val="19"/>
        </w:rPr>
        <w:t>0</w:t>
      </w:r>
      <w:r w:rsidR="009F71C5">
        <w:rPr>
          <w:b w:val="0"/>
          <w:sz w:val="19"/>
        </w:rPr>
        <w:tab/>
      </w:r>
      <w:r w:rsidR="00C07063">
        <w:rPr>
          <w:b w:val="0"/>
          <w:sz w:val="19"/>
        </w:rPr>
        <w:t>2,780</w:t>
      </w:r>
    </w:p>
    <w:p w:rsidR="00E760B2" w:rsidRDefault="00E760B2" w:rsidP="006D2AD0">
      <w:pPr>
        <w:pStyle w:val="Subtitle"/>
        <w:tabs>
          <w:tab w:val="left" w:pos="851"/>
          <w:tab w:val="decimal" w:pos="3828"/>
          <w:tab w:val="decimal" w:pos="4820"/>
        </w:tabs>
        <w:ind w:left="142"/>
        <w:rPr>
          <w:b w:val="0"/>
          <w:sz w:val="19"/>
        </w:rPr>
      </w:pPr>
      <w:r>
        <w:rPr>
          <w:b w:val="0"/>
          <w:sz w:val="19"/>
        </w:rPr>
        <w:t>Disabled child element</w:t>
      </w:r>
      <w:r>
        <w:rPr>
          <w:b w:val="0"/>
          <w:sz w:val="19"/>
        </w:rPr>
        <w:tab/>
      </w:r>
      <w:r w:rsidR="00C07063">
        <w:rPr>
          <w:b w:val="0"/>
          <w:sz w:val="19"/>
        </w:rPr>
        <w:t>0</w:t>
      </w:r>
      <w:r w:rsidR="009F71C5">
        <w:rPr>
          <w:b w:val="0"/>
          <w:sz w:val="19"/>
        </w:rPr>
        <w:tab/>
      </w:r>
      <w:r w:rsidR="00C07063">
        <w:rPr>
          <w:b w:val="0"/>
          <w:sz w:val="19"/>
        </w:rPr>
        <w:t>3,140</w:t>
      </w:r>
    </w:p>
    <w:p w:rsidR="00E760B2" w:rsidRDefault="00E760B2" w:rsidP="00A03233">
      <w:pPr>
        <w:pStyle w:val="Subtitle"/>
        <w:tabs>
          <w:tab w:val="left" w:pos="851"/>
          <w:tab w:val="decimal" w:pos="3828"/>
          <w:tab w:val="decimal" w:pos="4820"/>
        </w:tabs>
        <w:ind w:left="142"/>
        <w:rPr>
          <w:b w:val="0"/>
          <w:sz w:val="19"/>
        </w:rPr>
      </w:pPr>
      <w:r>
        <w:rPr>
          <w:b w:val="0"/>
          <w:sz w:val="19"/>
        </w:rPr>
        <w:t>Severely disabled child element</w:t>
      </w:r>
      <w:r>
        <w:rPr>
          <w:b w:val="0"/>
          <w:sz w:val="19"/>
        </w:rPr>
        <w:tab/>
      </w:r>
      <w:r w:rsidR="00C07063">
        <w:rPr>
          <w:b w:val="0"/>
          <w:sz w:val="19"/>
        </w:rPr>
        <w:t>0</w:t>
      </w:r>
      <w:r w:rsidR="009F71C5">
        <w:rPr>
          <w:b w:val="0"/>
          <w:sz w:val="19"/>
        </w:rPr>
        <w:tab/>
      </w:r>
      <w:r w:rsidR="00C07063">
        <w:rPr>
          <w:b w:val="0"/>
          <w:sz w:val="19"/>
        </w:rPr>
        <w:t>1,275</w:t>
      </w:r>
    </w:p>
    <w:p w:rsidR="00934F3F" w:rsidRDefault="00934F3F" w:rsidP="00A03233">
      <w:pPr>
        <w:pStyle w:val="BodyText"/>
        <w:tabs>
          <w:tab w:val="left" w:pos="340"/>
          <w:tab w:val="right" w:pos="4777"/>
          <w:tab w:val="decimal" w:pos="4820"/>
        </w:tabs>
        <w:ind w:left="142" w:right="283"/>
        <w:jc w:val="both"/>
        <w:outlineLvl w:val="0"/>
        <w:rPr>
          <w:rFonts w:ascii="Antique Olive" w:hAnsi="Antique Olive"/>
          <w:sz w:val="16"/>
        </w:rPr>
      </w:pPr>
    </w:p>
    <w:p w:rsidR="00E760B2" w:rsidRDefault="00E760B2" w:rsidP="00A03233">
      <w:pPr>
        <w:pStyle w:val="Subtitle"/>
        <w:tabs>
          <w:tab w:val="left" w:pos="851"/>
          <w:tab w:val="decimal" w:pos="3969"/>
          <w:tab w:val="decimal" w:pos="4820"/>
        </w:tabs>
        <w:ind w:left="142"/>
        <w:rPr>
          <w:b w:val="0"/>
          <w:sz w:val="19"/>
          <w:u w:val="single"/>
        </w:rPr>
      </w:pPr>
      <w:r>
        <w:rPr>
          <w:b w:val="0"/>
          <w:sz w:val="19"/>
          <w:u w:val="single"/>
        </w:rPr>
        <w:t>Income thresholds for withdrawal of Tax Credits</w:t>
      </w:r>
    </w:p>
    <w:p w:rsidR="00E760B2" w:rsidRDefault="00E760B2" w:rsidP="00A03233">
      <w:pPr>
        <w:pStyle w:val="Subtitle"/>
        <w:tabs>
          <w:tab w:val="left" w:pos="851"/>
          <w:tab w:val="decimal" w:pos="3828"/>
          <w:tab w:val="decimal" w:pos="4820"/>
        </w:tabs>
        <w:ind w:left="142"/>
        <w:rPr>
          <w:b w:val="0"/>
          <w:sz w:val="19"/>
        </w:rPr>
      </w:pPr>
      <w:r>
        <w:rPr>
          <w:b w:val="0"/>
          <w:sz w:val="19"/>
        </w:rPr>
        <w:t>Basic</w:t>
      </w:r>
      <w:r>
        <w:rPr>
          <w:b w:val="0"/>
          <w:sz w:val="19"/>
        </w:rPr>
        <w:tab/>
      </w:r>
      <w:r>
        <w:rPr>
          <w:b w:val="0"/>
          <w:sz w:val="19"/>
        </w:rPr>
        <w:tab/>
      </w:r>
      <w:r w:rsidR="00C07063">
        <w:rPr>
          <w:b w:val="0"/>
          <w:sz w:val="19"/>
        </w:rPr>
        <w:t>0</w:t>
      </w:r>
      <w:r w:rsidR="009F71C5">
        <w:rPr>
          <w:b w:val="0"/>
          <w:sz w:val="19"/>
        </w:rPr>
        <w:tab/>
      </w:r>
      <w:r w:rsidR="00C07063">
        <w:rPr>
          <w:b w:val="0"/>
          <w:sz w:val="19"/>
        </w:rPr>
        <w:t>6,420</w:t>
      </w:r>
    </w:p>
    <w:p w:rsidR="00E760B2" w:rsidRDefault="00E760B2" w:rsidP="002D7BAD">
      <w:pPr>
        <w:pStyle w:val="Subtitle"/>
        <w:tabs>
          <w:tab w:val="left" w:pos="851"/>
          <w:tab w:val="decimal" w:pos="3828"/>
          <w:tab w:val="decimal" w:pos="4820"/>
        </w:tabs>
        <w:ind w:left="142"/>
        <w:rPr>
          <w:b w:val="0"/>
          <w:sz w:val="19"/>
        </w:rPr>
      </w:pPr>
      <w:r>
        <w:rPr>
          <w:b w:val="0"/>
          <w:sz w:val="19"/>
        </w:rPr>
        <w:t>Those entitled to CTC only</w:t>
      </w:r>
      <w:r>
        <w:rPr>
          <w:b w:val="0"/>
          <w:sz w:val="19"/>
        </w:rPr>
        <w:tab/>
      </w:r>
      <w:r w:rsidR="00C07063">
        <w:rPr>
          <w:b w:val="0"/>
          <w:sz w:val="19"/>
        </w:rPr>
        <w:t>0</w:t>
      </w:r>
      <w:r w:rsidR="009F71C5">
        <w:rPr>
          <w:b w:val="0"/>
          <w:sz w:val="19"/>
        </w:rPr>
        <w:tab/>
      </w:r>
      <w:r w:rsidR="00C07063">
        <w:rPr>
          <w:b w:val="0"/>
          <w:sz w:val="19"/>
        </w:rPr>
        <w:t>16,105</w:t>
      </w:r>
    </w:p>
    <w:p w:rsidR="00E760B2" w:rsidRDefault="00E760B2" w:rsidP="00A03233">
      <w:pPr>
        <w:pStyle w:val="BodyText"/>
        <w:tabs>
          <w:tab w:val="left" w:pos="340"/>
          <w:tab w:val="right" w:pos="4777"/>
          <w:tab w:val="decimal" w:pos="4820"/>
        </w:tabs>
        <w:ind w:left="142" w:right="283"/>
        <w:jc w:val="both"/>
        <w:outlineLvl w:val="0"/>
        <w:rPr>
          <w:rFonts w:ascii="Antique Olive" w:hAnsi="Antique Olive"/>
          <w:sz w:val="16"/>
        </w:rPr>
      </w:pPr>
      <w:r>
        <w:rPr>
          <w:rFonts w:ascii="Antique Olive" w:hAnsi="Antique Olive"/>
        </w:rPr>
        <w:tab/>
        <w:t>The withdrawal rate is still 41%</w:t>
      </w:r>
    </w:p>
    <w:p w:rsidR="00E760B2" w:rsidRDefault="00E760B2" w:rsidP="00A03233">
      <w:pPr>
        <w:pStyle w:val="BodyText"/>
        <w:tabs>
          <w:tab w:val="left" w:pos="340"/>
          <w:tab w:val="right" w:pos="4777"/>
          <w:tab w:val="decimal" w:pos="4820"/>
        </w:tabs>
        <w:ind w:left="142" w:right="283"/>
        <w:jc w:val="both"/>
        <w:outlineLvl w:val="0"/>
        <w:rPr>
          <w:rFonts w:ascii="Antique Olive" w:hAnsi="Antique Olive"/>
          <w:sz w:val="16"/>
        </w:rPr>
      </w:pPr>
    </w:p>
    <w:p w:rsidR="00E760B2" w:rsidRDefault="00E760B2" w:rsidP="00A03233">
      <w:pPr>
        <w:pStyle w:val="Subtitle"/>
        <w:tabs>
          <w:tab w:val="left" w:pos="851"/>
          <w:tab w:val="decimal" w:pos="3969"/>
          <w:tab w:val="decimal" w:pos="4820"/>
        </w:tabs>
        <w:ind w:left="142"/>
        <w:rPr>
          <w:b w:val="0"/>
          <w:sz w:val="19"/>
          <w:u w:val="single"/>
        </w:rPr>
      </w:pPr>
      <w:r>
        <w:rPr>
          <w:b w:val="0"/>
          <w:sz w:val="19"/>
          <w:u w:val="single"/>
        </w:rPr>
        <w:t>Childcare element (weekly)</w:t>
      </w:r>
    </w:p>
    <w:p w:rsidR="00E760B2" w:rsidRDefault="00E760B2" w:rsidP="00AB6C94">
      <w:pPr>
        <w:pStyle w:val="Subtitle"/>
        <w:tabs>
          <w:tab w:val="left" w:pos="851"/>
          <w:tab w:val="left" w:pos="1276"/>
          <w:tab w:val="decimal" w:pos="3828"/>
          <w:tab w:val="decimal" w:pos="4820"/>
        </w:tabs>
        <w:ind w:left="142"/>
        <w:rPr>
          <w:b w:val="0"/>
          <w:sz w:val="19"/>
        </w:rPr>
      </w:pPr>
      <w:r>
        <w:rPr>
          <w:b w:val="0"/>
          <w:sz w:val="19"/>
        </w:rPr>
        <w:t>Maximum -</w:t>
      </w:r>
      <w:r w:rsidR="00AB6C94">
        <w:rPr>
          <w:b w:val="0"/>
          <w:sz w:val="19"/>
        </w:rPr>
        <w:tab/>
      </w:r>
      <w:r>
        <w:rPr>
          <w:b w:val="0"/>
          <w:sz w:val="19"/>
        </w:rPr>
        <w:t>one child</w:t>
      </w:r>
      <w:r>
        <w:rPr>
          <w:b w:val="0"/>
          <w:sz w:val="19"/>
        </w:rPr>
        <w:tab/>
      </w:r>
      <w:r w:rsidR="00C07063">
        <w:rPr>
          <w:b w:val="0"/>
          <w:sz w:val="19"/>
        </w:rPr>
        <w:t>0</w:t>
      </w:r>
      <w:r w:rsidR="009F71C5">
        <w:rPr>
          <w:b w:val="0"/>
          <w:sz w:val="19"/>
        </w:rPr>
        <w:tab/>
      </w:r>
      <w:r w:rsidR="00C07063">
        <w:rPr>
          <w:b w:val="0"/>
          <w:sz w:val="19"/>
        </w:rPr>
        <w:t>175</w:t>
      </w:r>
    </w:p>
    <w:p w:rsidR="00E760B2" w:rsidRDefault="00E760B2" w:rsidP="00AB6C94">
      <w:pPr>
        <w:pStyle w:val="Subtitle"/>
        <w:tabs>
          <w:tab w:val="left" w:pos="851"/>
          <w:tab w:val="left" w:pos="1276"/>
          <w:tab w:val="decimal" w:pos="3828"/>
          <w:tab w:val="decimal" w:pos="4820"/>
        </w:tabs>
        <w:ind w:left="142"/>
        <w:rPr>
          <w:b w:val="0"/>
          <w:sz w:val="19"/>
        </w:rPr>
      </w:pPr>
      <w:r>
        <w:rPr>
          <w:b w:val="0"/>
          <w:sz w:val="19"/>
        </w:rPr>
        <w:tab/>
      </w:r>
      <w:r>
        <w:rPr>
          <w:b w:val="0"/>
          <w:sz w:val="19"/>
        </w:rPr>
        <w:tab/>
      </w:r>
      <w:proofErr w:type="gramStart"/>
      <w:r>
        <w:rPr>
          <w:b w:val="0"/>
          <w:sz w:val="19"/>
        </w:rPr>
        <w:t>two</w:t>
      </w:r>
      <w:proofErr w:type="gramEnd"/>
      <w:r>
        <w:rPr>
          <w:b w:val="0"/>
          <w:sz w:val="19"/>
        </w:rPr>
        <w:t xml:space="preserve"> or more children</w:t>
      </w:r>
      <w:r>
        <w:rPr>
          <w:b w:val="0"/>
          <w:sz w:val="19"/>
        </w:rPr>
        <w:tab/>
      </w:r>
      <w:r w:rsidR="00C07063">
        <w:rPr>
          <w:b w:val="0"/>
          <w:sz w:val="19"/>
        </w:rPr>
        <w:t>0</w:t>
      </w:r>
      <w:r w:rsidR="009F71C5">
        <w:rPr>
          <w:b w:val="0"/>
          <w:sz w:val="19"/>
        </w:rPr>
        <w:tab/>
      </w:r>
      <w:r w:rsidR="00C07063">
        <w:rPr>
          <w:b w:val="0"/>
          <w:sz w:val="19"/>
        </w:rPr>
        <w:t>300</w:t>
      </w:r>
    </w:p>
    <w:p w:rsidR="00E760B2" w:rsidRDefault="00E760B2" w:rsidP="00A03233">
      <w:pPr>
        <w:pStyle w:val="BodyText"/>
        <w:tabs>
          <w:tab w:val="left" w:pos="340"/>
          <w:tab w:val="right" w:pos="4777"/>
        </w:tabs>
        <w:ind w:left="142" w:right="283"/>
        <w:jc w:val="both"/>
        <w:outlineLvl w:val="0"/>
        <w:rPr>
          <w:rFonts w:ascii="Antique Olive" w:hAnsi="Antique Olive"/>
          <w:sz w:val="16"/>
        </w:rPr>
      </w:pPr>
    </w:p>
    <w:p w:rsidR="00E760B2" w:rsidRDefault="00E760B2" w:rsidP="00F4599C">
      <w:pPr>
        <w:pStyle w:val="Subtitle"/>
        <w:tabs>
          <w:tab w:val="left" w:pos="426"/>
          <w:tab w:val="decimal" w:pos="3828"/>
          <w:tab w:val="left" w:pos="4678"/>
        </w:tabs>
        <w:ind w:left="142" w:right="340"/>
        <w:rPr>
          <w:b w:val="0"/>
          <w:sz w:val="19"/>
        </w:rPr>
      </w:pPr>
      <w:r>
        <w:rPr>
          <w:b w:val="0"/>
          <w:sz w:val="19"/>
        </w:rPr>
        <w:tab/>
        <w:t>Up to 70% of childcare costs can be covered, up to the maximum childcare element above.</w:t>
      </w:r>
    </w:p>
    <w:p w:rsidR="00E760B2" w:rsidRDefault="00E760B2" w:rsidP="00A03233">
      <w:pPr>
        <w:pStyle w:val="BodyText"/>
        <w:tabs>
          <w:tab w:val="left" w:pos="340"/>
          <w:tab w:val="right" w:pos="4777"/>
        </w:tabs>
        <w:ind w:left="142" w:right="283"/>
        <w:jc w:val="both"/>
        <w:outlineLvl w:val="0"/>
        <w:rPr>
          <w:rFonts w:ascii="Antique Olive" w:hAnsi="Antique Olive"/>
          <w:sz w:val="16"/>
        </w:rPr>
      </w:pPr>
    </w:p>
    <w:p w:rsidR="00575865" w:rsidRDefault="00E760B2" w:rsidP="00F4599C">
      <w:pPr>
        <w:pStyle w:val="Subtitle"/>
        <w:tabs>
          <w:tab w:val="left" w:pos="426"/>
          <w:tab w:val="decimal" w:pos="3828"/>
        </w:tabs>
        <w:ind w:left="142" w:right="340"/>
        <w:rPr>
          <w:b w:val="0"/>
          <w:sz w:val="19"/>
        </w:rPr>
      </w:pPr>
      <w:r>
        <w:rPr>
          <w:b w:val="0"/>
          <w:sz w:val="19"/>
        </w:rPr>
        <w:tab/>
        <w:t xml:space="preserve">Tax Credit awards are always paid provisionally, based on the previous year’s income, then reassessed at the end of the year when actual income is known.  A </w:t>
      </w:r>
      <w:r w:rsidR="00575865">
        <w:rPr>
          <w:b w:val="0"/>
          <w:sz w:val="19"/>
        </w:rPr>
        <w:t>£</w:t>
      </w:r>
      <w:r w:rsidR="008E0BD2">
        <w:rPr>
          <w:b w:val="0"/>
          <w:sz w:val="19"/>
        </w:rPr>
        <w:t>2,500 or</w:t>
      </w:r>
      <w:r w:rsidR="00575865">
        <w:rPr>
          <w:b w:val="0"/>
          <w:sz w:val="19"/>
        </w:rPr>
        <w:t xml:space="preserve"> more </w:t>
      </w:r>
      <w:r>
        <w:rPr>
          <w:b w:val="0"/>
          <w:sz w:val="19"/>
        </w:rPr>
        <w:t xml:space="preserve">reduction in income will give a back-dated award, </w:t>
      </w:r>
      <w:r w:rsidR="00575865">
        <w:rPr>
          <w:b w:val="0"/>
          <w:sz w:val="19"/>
        </w:rPr>
        <w:t>while</w:t>
      </w:r>
      <w:r>
        <w:rPr>
          <w:b w:val="0"/>
          <w:sz w:val="19"/>
        </w:rPr>
        <w:t xml:space="preserve"> an increase in income of £</w:t>
      </w:r>
      <w:r w:rsidR="00C07063">
        <w:rPr>
          <w:b w:val="0"/>
          <w:sz w:val="19"/>
        </w:rPr>
        <w:t>2</w:t>
      </w:r>
      <w:r w:rsidR="008E0BD2">
        <w:rPr>
          <w:b w:val="0"/>
          <w:sz w:val="19"/>
        </w:rPr>
        <w:t>,</w:t>
      </w:r>
      <w:r w:rsidR="00C07063">
        <w:rPr>
          <w:b w:val="0"/>
          <w:sz w:val="19"/>
        </w:rPr>
        <w:t>5</w:t>
      </w:r>
      <w:r w:rsidR="008E0BD2">
        <w:rPr>
          <w:b w:val="0"/>
          <w:sz w:val="19"/>
        </w:rPr>
        <w:t>00</w:t>
      </w:r>
      <w:r>
        <w:rPr>
          <w:b w:val="0"/>
          <w:sz w:val="19"/>
        </w:rPr>
        <w:t xml:space="preserve"> or more will lea</w:t>
      </w:r>
      <w:r w:rsidR="00575865">
        <w:rPr>
          <w:b w:val="0"/>
          <w:sz w:val="19"/>
        </w:rPr>
        <w:t>d to</w:t>
      </w:r>
      <w:r>
        <w:rPr>
          <w:b w:val="0"/>
          <w:sz w:val="19"/>
        </w:rPr>
        <w:t xml:space="preserve"> Tax Credits being reclaimed</w:t>
      </w:r>
      <w:r w:rsidR="00575865">
        <w:rPr>
          <w:b w:val="0"/>
          <w:sz w:val="19"/>
        </w:rPr>
        <w:t xml:space="preserve"> in whole or in part</w:t>
      </w:r>
      <w:r w:rsidR="00897620">
        <w:rPr>
          <w:b w:val="0"/>
          <w:sz w:val="19"/>
        </w:rPr>
        <w:t>.</w:t>
      </w:r>
    </w:p>
    <w:p w:rsidR="009F71C5" w:rsidRDefault="009F71C5" w:rsidP="00A03233">
      <w:pPr>
        <w:pStyle w:val="Subtitle"/>
        <w:tabs>
          <w:tab w:val="left" w:pos="426"/>
          <w:tab w:val="decimal" w:pos="3828"/>
        </w:tabs>
        <w:ind w:left="142" w:right="283"/>
        <w:rPr>
          <w:b w:val="0"/>
          <w:sz w:val="16"/>
          <w:szCs w:val="16"/>
        </w:rPr>
      </w:pPr>
    </w:p>
    <w:p w:rsidR="00C07063" w:rsidRPr="00C07063" w:rsidRDefault="00C07063" w:rsidP="00A03233">
      <w:pPr>
        <w:pStyle w:val="Subtitle"/>
        <w:tabs>
          <w:tab w:val="left" w:pos="426"/>
          <w:tab w:val="decimal" w:pos="3828"/>
        </w:tabs>
        <w:ind w:left="142" w:right="283"/>
        <w:rPr>
          <w:b w:val="0"/>
          <w:sz w:val="19"/>
          <w:szCs w:val="19"/>
        </w:rPr>
      </w:pPr>
      <w:r w:rsidRPr="00C07063">
        <w:rPr>
          <w:b w:val="0"/>
          <w:sz w:val="19"/>
          <w:szCs w:val="19"/>
        </w:rPr>
        <w:tab/>
        <w:t>The freezing of Tax Credit rates, combined with the introduction of the National Living Wage, will inevitably lead to fewer and smaller claims for these benefits.</w:t>
      </w:r>
    </w:p>
    <w:p w:rsidR="00C07063" w:rsidRPr="00B226A6" w:rsidRDefault="00C07063" w:rsidP="00A03233">
      <w:pPr>
        <w:pStyle w:val="Subtitle"/>
        <w:tabs>
          <w:tab w:val="left" w:pos="426"/>
          <w:tab w:val="decimal" w:pos="3828"/>
        </w:tabs>
        <w:ind w:left="142" w:right="283"/>
        <w:rPr>
          <w:b w:val="0"/>
          <w:sz w:val="16"/>
          <w:szCs w:val="16"/>
        </w:rPr>
      </w:pPr>
    </w:p>
    <w:p w:rsidR="009F71C5" w:rsidRDefault="00F4599C" w:rsidP="00F4599C">
      <w:pPr>
        <w:pStyle w:val="Subtitle"/>
        <w:tabs>
          <w:tab w:val="left" w:pos="426"/>
          <w:tab w:val="decimal" w:pos="3828"/>
          <w:tab w:val="left" w:pos="4678"/>
        </w:tabs>
        <w:ind w:left="142" w:right="340"/>
        <w:rPr>
          <w:b w:val="0"/>
          <w:sz w:val="19"/>
        </w:rPr>
      </w:pPr>
      <w:r>
        <w:rPr>
          <w:b w:val="0"/>
          <w:sz w:val="19"/>
        </w:rPr>
        <w:tab/>
      </w:r>
      <w:r w:rsidR="009F71C5">
        <w:rPr>
          <w:b w:val="0"/>
          <w:sz w:val="19"/>
        </w:rPr>
        <w:t xml:space="preserve">Over the next few years, Tax Credits and some other benefits will be replaced by </w:t>
      </w:r>
      <w:r w:rsidR="0099359E">
        <w:rPr>
          <w:b w:val="0"/>
          <w:sz w:val="19"/>
        </w:rPr>
        <w:t>t</w:t>
      </w:r>
      <w:r w:rsidR="009F71C5">
        <w:rPr>
          <w:b w:val="0"/>
          <w:sz w:val="19"/>
        </w:rPr>
        <w:t>he new Universal Credit</w:t>
      </w:r>
      <w:r w:rsidR="00C07063">
        <w:rPr>
          <w:b w:val="0"/>
          <w:sz w:val="19"/>
        </w:rPr>
        <w:t>, which is already available to single people with no children</w:t>
      </w:r>
      <w:r w:rsidR="009F71C5">
        <w:rPr>
          <w:b w:val="0"/>
          <w:sz w:val="19"/>
        </w:rPr>
        <w:t>.</w:t>
      </w:r>
    </w:p>
    <w:p w:rsidR="00265471" w:rsidRDefault="00265471" w:rsidP="00F4599C">
      <w:pPr>
        <w:pStyle w:val="Subtitle"/>
        <w:tabs>
          <w:tab w:val="left" w:pos="426"/>
          <w:tab w:val="decimal" w:pos="3828"/>
          <w:tab w:val="decimal" w:pos="4820"/>
        </w:tabs>
        <w:ind w:left="142" w:right="283"/>
        <w:rPr>
          <w:b w:val="0"/>
          <w:sz w:val="16"/>
          <w:szCs w:val="16"/>
          <w:u w:val="single"/>
        </w:rPr>
      </w:pPr>
    </w:p>
    <w:p w:rsidR="009E7C7A" w:rsidRDefault="009E7C7A" w:rsidP="00F4599C">
      <w:pPr>
        <w:pStyle w:val="Subtitle"/>
        <w:tabs>
          <w:tab w:val="left" w:pos="426"/>
          <w:tab w:val="decimal" w:pos="3828"/>
          <w:tab w:val="decimal" w:pos="4820"/>
        </w:tabs>
        <w:ind w:left="142" w:right="283"/>
        <w:rPr>
          <w:b w:val="0"/>
          <w:sz w:val="16"/>
          <w:szCs w:val="16"/>
          <w:u w:val="single"/>
        </w:rPr>
      </w:pPr>
    </w:p>
    <w:p w:rsidR="009E7C7A" w:rsidRDefault="009E7C7A" w:rsidP="00F4599C">
      <w:pPr>
        <w:pStyle w:val="Subtitle"/>
        <w:tabs>
          <w:tab w:val="left" w:pos="426"/>
          <w:tab w:val="decimal" w:pos="3828"/>
          <w:tab w:val="decimal" w:pos="4820"/>
        </w:tabs>
        <w:ind w:left="142" w:right="283"/>
        <w:rPr>
          <w:b w:val="0"/>
          <w:sz w:val="16"/>
          <w:szCs w:val="16"/>
          <w:u w:val="single"/>
        </w:rPr>
      </w:pPr>
    </w:p>
    <w:p w:rsidR="009E7C7A" w:rsidRDefault="009E7C7A" w:rsidP="00F4599C">
      <w:pPr>
        <w:pStyle w:val="Subtitle"/>
        <w:tabs>
          <w:tab w:val="left" w:pos="426"/>
          <w:tab w:val="decimal" w:pos="3828"/>
          <w:tab w:val="decimal" w:pos="4820"/>
        </w:tabs>
        <w:ind w:left="142" w:right="283"/>
        <w:rPr>
          <w:b w:val="0"/>
          <w:sz w:val="16"/>
          <w:szCs w:val="16"/>
          <w:u w:val="single"/>
        </w:rPr>
      </w:pPr>
    </w:p>
    <w:p w:rsidR="009E7C7A" w:rsidRDefault="009E7C7A" w:rsidP="00F4599C">
      <w:pPr>
        <w:pStyle w:val="Subtitle"/>
        <w:tabs>
          <w:tab w:val="left" w:pos="426"/>
          <w:tab w:val="decimal" w:pos="3828"/>
          <w:tab w:val="decimal" w:pos="4820"/>
        </w:tabs>
        <w:ind w:left="142" w:right="283"/>
        <w:rPr>
          <w:b w:val="0"/>
          <w:sz w:val="16"/>
          <w:szCs w:val="16"/>
          <w:u w:val="single"/>
        </w:rPr>
      </w:pPr>
    </w:p>
    <w:p w:rsidR="009E7C7A" w:rsidRDefault="009E7C7A" w:rsidP="00F4599C">
      <w:pPr>
        <w:pStyle w:val="Subtitle"/>
        <w:tabs>
          <w:tab w:val="left" w:pos="426"/>
          <w:tab w:val="decimal" w:pos="3828"/>
          <w:tab w:val="decimal" w:pos="4820"/>
        </w:tabs>
        <w:ind w:left="142" w:right="283"/>
        <w:rPr>
          <w:b w:val="0"/>
          <w:sz w:val="16"/>
          <w:szCs w:val="16"/>
          <w:u w:val="single"/>
        </w:rPr>
      </w:pPr>
    </w:p>
    <w:p w:rsidR="009E7C7A" w:rsidRDefault="009E7C7A" w:rsidP="00F4599C">
      <w:pPr>
        <w:pStyle w:val="Subtitle"/>
        <w:tabs>
          <w:tab w:val="left" w:pos="426"/>
          <w:tab w:val="decimal" w:pos="3828"/>
          <w:tab w:val="decimal" w:pos="4820"/>
        </w:tabs>
        <w:ind w:left="142" w:right="283"/>
        <w:rPr>
          <w:b w:val="0"/>
          <w:sz w:val="16"/>
          <w:szCs w:val="16"/>
          <w:u w:val="single"/>
        </w:rPr>
      </w:pPr>
    </w:p>
    <w:p w:rsidR="009E7C7A" w:rsidRDefault="009E7C7A" w:rsidP="00F4599C">
      <w:pPr>
        <w:pStyle w:val="Subtitle"/>
        <w:tabs>
          <w:tab w:val="left" w:pos="426"/>
          <w:tab w:val="decimal" w:pos="3828"/>
          <w:tab w:val="decimal" w:pos="4820"/>
        </w:tabs>
        <w:ind w:left="142" w:right="283"/>
        <w:rPr>
          <w:b w:val="0"/>
          <w:sz w:val="16"/>
          <w:szCs w:val="16"/>
          <w:u w:val="single"/>
        </w:rPr>
      </w:pPr>
    </w:p>
    <w:p w:rsidR="009E7C7A" w:rsidRDefault="009E7C7A" w:rsidP="00F4599C">
      <w:pPr>
        <w:pStyle w:val="Subtitle"/>
        <w:tabs>
          <w:tab w:val="left" w:pos="426"/>
          <w:tab w:val="decimal" w:pos="3828"/>
          <w:tab w:val="decimal" w:pos="4820"/>
        </w:tabs>
        <w:ind w:left="142" w:right="283"/>
        <w:rPr>
          <w:b w:val="0"/>
          <w:sz w:val="16"/>
          <w:szCs w:val="16"/>
          <w:u w:val="single"/>
        </w:rPr>
      </w:pPr>
    </w:p>
    <w:p w:rsidR="009E7C7A" w:rsidRDefault="009E7C7A" w:rsidP="00F4599C">
      <w:pPr>
        <w:pStyle w:val="Subtitle"/>
        <w:tabs>
          <w:tab w:val="left" w:pos="426"/>
          <w:tab w:val="decimal" w:pos="3828"/>
          <w:tab w:val="decimal" w:pos="4820"/>
        </w:tabs>
        <w:ind w:left="142" w:right="283"/>
        <w:rPr>
          <w:b w:val="0"/>
          <w:sz w:val="16"/>
          <w:szCs w:val="16"/>
          <w:u w:val="single"/>
        </w:rPr>
      </w:pPr>
    </w:p>
    <w:p w:rsidR="009E7C7A" w:rsidRDefault="009E7C7A" w:rsidP="00F4599C">
      <w:pPr>
        <w:pStyle w:val="Subtitle"/>
        <w:tabs>
          <w:tab w:val="left" w:pos="426"/>
          <w:tab w:val="decimal" w:pos="3828"/>
          <w:tab w:val="decimal" w:pos="4820"/>
        </w:tabs>
        <w:ind w:left="142" w:right="283"/>
        <w:rPr>
          <w:b w:val="0"/>
          <w:sz w:val="16"/>
          <w:szCs w:val="16"/>
          <w:u w:val="single"/>
        </w:rPr>
      </w:pPr>
    </w:p>
    <w:p w:rsidR="009E7C7A" w:rsidRDefault="009E7C7A" w:rsidP="00F4599C">
      <w:pPr>
        <w:pStyle w:val="Subtitle"/>
        <w:tabs>
          <w:tab w:val="left" w:pos="426"/>
          <w:tab w:val="decimal" w:pos="3828"/>
          <w:tab w:val="decimal" w:pos="4820"/>
        </w:tabs>
        <w:ind w:left="142" w:right="283"/>
        <w:rPr>
          <w:b w:val="0"/>
          <w:sz w:val="16"/>
          <w:szCs w:val="16"/>
          <w:u w:val="single"/>
        </w:rPr>
      </w:pPr>
    </w:p>
    <w:p w:rsidR="009E7C7A" w:rsidRDefault="009E7C7A" w:rsidP="00F4599C">
      <w:pPr>
        <w:pStyle w:val="Subtitle"/>
        <w:tabs>
          <w:tab w:val="left" w:pos="426"/>
          <w:tab w:val="decimal" w:pos="3828"/>
          <w:tab w:val="decimal" w:pos="4820"/>
        </w:tabs>
        <w:ind w:left="142" w:right="283"/>
        <w:rPr>
          <w:b w:val="0"/>
          <w:sz w:val="16"/>
          <w:szCs w:val="16"/>
          <w:u w:val="single"/>
        </w:rPr>
      </w:pPr>
    </w:p>
    <w:p w:rsidR="009E7C7A" w:rsidRDefault="009E7C7A" w:rsidP="00F4599C">
      <w:pPr>
        <w:pStyle w:val="Subtitle"/>
        <w:tabs>
          <w:tab w:val="left" w:pos="426"/>
          <w:tab w:val="decimal" w:pos="3828"/>
          <w:tab w:val="decimal" w:pos="4820"/>
        </w:tabs>
        <w:ind w:left="142" w:right="283"/>
        <w:rPr>
          <w:b w:val="0"/>
          <w:sz w:val="16"/>
          <w:szCs w:val="16"/>
          <w:u w:val="single"/>
        </w:rPr>
      </w:pPr>
    </w:p>
    <w:p w:rsidR="009E7C7A" w:rsidRDefault="009E7C7A" w:rsidP="00F4599C">
      <w:pPr>
        <w:pStyle w:val="Subtitle"/>
        <w:tabs>
          <w:tab w:val="left" w:pos="426"/>
          <w:tab w:val="decimal" w:pos="3828"/>
          <w:tab w:val="decimal" w:pos="4820"/>
        </w:tabs>
        <w:ind w:left="142" w:right="283"/>
        <w:rPr>
          <w:b w:val="0"/>
          <w:sz w:val="16"/>
          <w:szCs w:val="16"/>
          <w:u w:val="single"/>
        </w:rPr>
      </w:pPr>
      <w:bookmarkStart w:id="0" w:name="_GoBack"/>
      <w:bookmarkEnd w:id="0"/>
    </w:p>
    <w:p w:rsidR="009E7C7A" w:rsidRDefault="009E7C7A" w:rsidP="00F4599C">
      <w:pPr>
        <w:pStyle w:val="Subtitle"/>
        <w:tabs>
          <w:tab w:val="left" w:pos="426"/>
          <w:tab w:val="decimal" w:pos="3828"/>
          <w:tab w:val="decimal" w:pos="4820"/>
        </w:tabs>
        <w:ind w:left="142" w:right="283"/>
        <w:rPr>
          <w:b w:val="0"/>
          <w:sz w:val="16"/>
          <w:szCs w:val="16"/>
          <w:u w:val="single"/>
        </w:rPr>
      </w:pPr>
    </w:p>
    <w:p w:rsidR="009E7C7A" w:rsidRDefault="009E7C7A" w:rsidP="00F4599C">
      <w:pPr>
        <w:pStyle w:val="Subtitle"/>
        <w:tabs>
          <w:tab w:val="left" w:pos="426"/>
          <w:tab w:val="decimal" w:pos="3828"/>
          <w:tab w:val="decimal" w:pos="4820"/>
        </w:tabs>
        <w:ind w:left="142" w:right="283"/>
        <w:rPr>
          <w:b w:val="0"/>
          <w:sz w:val="16"/>
          <w:szCs w:val="16"/>
          <w:u w:val="single"/>
        </w:rPr>
      </w:pPr>
    </w:p>
    <w:p w:rsidR="009E7C7A" w:rsidRDefault="009E7C7A" w:rsidP="009E7C7A">
      <w:pPr>
        <w:pStyle w:val="Subtitle"/>
        <w:tabs>
          <w:tab w:val="left" w:pos="426"/>
          <w:tab w:val="decimal" w:pos="3828"/>
        </w:tabs>
        <w:ind w:right="283"/>
        <w:jc w:val="center"/>
        <w:rPr>
          <w:sz w:val="28"/>
          <w:szCs w:val="28"/>
        </w:rPr>
      </w:pPr>
      <w:r w:rsidRPr="00575865">
        <w:rPr>
          <w:sz w:val="28"/>
          <w:szCs w:val="28"/>
        </w:rPr>
        <w:t>Tax-exempt Savings</w:t>
      </w:r>
    </w:p>
    <w:p w:rsidR="009E7C7A" w:rsidRPr="00DC7B27" w:rsidRDefault="009E7C7A" w:rsidP="009E7C7A">
      <w:pPr>
        <w:pStyle w:val="Subtitle"/>
        <w:tabs>
          <w:tab w:val="left" w:pos="426"/>
          <w:tab w:val="decimal" w:pos="3828"/>
        </w:tabs>
        <w:ind w:left="142" w:right="283"/>
        <w:rPr>
          <w:sz w:val="16"/>
          <w:szCs w:val="16"/>
        </w:rPr>
      </w:pPr>
    </w:p>
    <w:p w:rsidR="009E7C7A" w:rsidRDefault="009E7C7A" w:rsidP="009E7C7A">
      <w:pPr>
        <w:pStyle w:val="Subtitle"/>
        <w:tabs>
          <w:tab w:val="left" w:pos="426"/>
          <w:tab w:val="decimal" w:pos="3828"/>
          <w:tab w:val="right" w:pos="4820"/>
        </w:tabs>
        <w:ind w:left="142" w:right="198"/>
        <w:rPr>
          <w:b w:val="0"/>
          <w:sz w:val="19"/>
          <w:szCs w:val="19"/>
          <w:u w:val="single"/>
        </w:rPr>
      </w:pPr>
      <w:r>
        <w:rPr>
          <w:b w:val="0"/>
          <w:sz w:val="19"/>
          <w:szCs w:val="19"/>
        </w:rPr>
        <w:tab/>
      </w:r>
      <w:r>
        <w:rPr>
          <w:b w:val="0"/>
          <w:sz w:val="19"/>
          <w:szCs w:val="19"/>
        </w:rPr>
        <w:tab/>
      </w:r>
      <w:r w:rsidRPr="00575865">
        <w:rPr>
          <w:b w:val="0"/>
          <w:sz w:val="19"/>
          <w:szCs w:val="19"/>
          <w:u w:val="single"/>
        </w:rPr>
        <w:t>Increase</w:t>
      </w:r>
      <w:r>
        <w:rPr>
          <w:b w:val="0"/>
          <w:sz w:val="19"/>
          <w:szCs w:val="19"/>
        </w:rPr>
        <w:tab/>
      </w:r>
      <w:r>
        <w:rPr>
          <w:b w:val="0"/>
          <w:sz w:val="19"/>
          <w:szCs w:val="19"/>
          <w:u w:val="single"/>
        </w:rPr>
        <w:t>2016/17</w:t>
      </w:r>
    </w:p>
    <w:p w:rsidR="009E7C7A" w:rsidRDefault="009E7C7A" w:rsidP="009E7C7A">
      <w:pPr>
        <w:pStyle w:val="Subtitle"/>
        <w:tabs>
          <w:tab w:val="left" w:pos="426"/>
          <w:tab w:val="decimal" w:pos="3544"/>
          <w:tab w:val="decimal" w:pos="4536"/>
          <w:tab w:val="right" w:pos="4820"/>
        </w:tabs>
        <w:ind w:left="142" w:right="340"/>
        <w:rPr>
          <w:b w:val="0"/>
          <w:sz w:val="19"/>
          <w:szCs w:val="19"/>
        </w:rPr>
      </w:pPr>
      <w:r>
        <w:rPr>
          <w:b w:val="0"/>
          <w:sz w:val="19"/>
          <w:szCs w:val="19"/>
        </w:rPr>
        <w:tab/>
      </w:r>
      <w:r>
        <w:rPr>
          <w:b w:val="0"/>
          <w:sz w:val="19"/>
          <w:szCs w:val="19"/>
        </w:rPr>
        <w:tab/>
        <w:t>£</w:t>
      </w:r>
      <w:r>
        <w:rPr>
          <w:b w:val="0"/>
          <w:sz w:val="19"/>
          <w:szCs w:val="19"/>
        </w:rPr>
        <w:tab/>
        <w:t>£</w:t>
      </w:r>
    </w:p>
    <w:p w:rsidR="009E7C7A" w:rsidRDefault="009E7C7A" w:rsidP="009E7C7A">
      <w:pPr>
        <w:pStyle w:val="Subtitle"/>
        <w:tabs>
          <w:tab w:val="left" w:pos="426"/>
          <w:tab w:val="decimal" w:pos="3828"/>
          <w:tab w:val="right" w:pos="4820"/>
        </w:tabs>
        <w:ind w:left="142" w:right="340"/>
        <w:rPr>
          <w:b w:val="0"/>
          <w:sz w:val="19"/>
          <w:szCs w:val="19"/>
        </w:rPr>
      </w:pPr>
    </w:p>
    <w:p w:rsidR="009E7C7A" w:rsidRDefault="009E7C7A" w:rsidP="009E7C7A">
      <w:pPr>
        <w:pStyle w:val="Subtitle"/>
        <w:tabs>
          <w:tab w:val="left" w:pos="426"/>
          <w:tab w:val="decimal" w:pos="3828"/>
          <w:tab w:val="right" w:pos="4820"/>
        </w:tabs>
        <w:ind w:left="142" w:right="340"/>
        <w:rPr>
          <w:b w:val="0"/>
          <w:sz w:val="19"/>
          <w:szCs w:val="19"/>
        </w:rPr>
      </w:pPr>
      <w:r>
        <w:rPr>
          <w:b w:val="0"/>
          <w:sz w:val="19"/>
          <w:szCs w:val="19"/>
        </w:rPr>
        <w:t>Individual Savings Account (ISA)</w:t>
      </w:r>
      <w:r>
        <w:rPr>
          <w:b w:val="0"/>
          <w:sz w:val="19"/>
          <w:szCs w:val="19"/>
        </w:rPr>
        <w:tab/>
        <w:t>0</w:t>
      </w:r>
      <w:r>
        <w:rPr>
          <w:b w:val="0"/>
          <w:sz w:val="19"/>
          <w:szCs w:val="19"/>
        </w:rPr>
        <w:tab/>
        <w:t>15,240</w:t>
      </w:r>
    </w:p>
    <w:p w:rsidR="009E7C7A" w:rsidRPr="0099359E" w:rsidRDefault="009E7C7A" w:rsidP="009E7C7A">
      <w:pPr>
        <w:pStyle w:val="Subtitle"/>
        <w:tabs>
          <w:tab w:val="left" w:pos="426"/>
          <w:tab w:val="decimal" w:pos="3828"/>
          <w:tab w:val="right" w:pos="4820"/>
        </w:tabs>
        <w:ind w:left="142" w:right="283"/>
        <w:rPr>
          <w:b w:val="0"/>
          <w:sz w:val="19"/>
          <w:szCs w:val="19"/>
        </w:rPr>
      </w:pPr>
      <w:r w:rsidRPr="0099359E">
        <w:rPr>
          <w:b w:val="0"/>
          <w:sz w:val="19"/>
          <w:szCs w:val="19"/>
        </w:rPr>
        <w:t>Junior ISA</w:t>
      </w:r>
      <w:r w:rsidRPr="0099359E">
        <w:rPr>
          <w:b w:val="0"/>
          <w:sz w:val="19"/>
          <w:szCs w:val="19"/>
        </w:rPr>
        <w:tab/>
      </w:r>
      <w:r>
        <w:rPr>
          <w:b w:val="0"/>
          <w:sz w:val="19"/>
          <w:szCs w:val="19"/>
        </w:rPr>
        <w:t>0</w:t>
      </w:r>
      <w:r>
        <w:rPr>
          <w:b w:val="0"/>
          <w:sz w:val="19"/>
          <w:szCs w:val="19"/>
        </w:rPr>
        <w:tab/>
        <w:t>4,080</w:t>
      </w:r>
    </w:p>
    <w:p w:rsidR="009E7C7A" w:rsidRPr="0099359E" w:rsidRDefault="009E7C7A" w:rsidP="009E7C7A">
      <w:pPr>
        <w:pStyle w:val="Subtitle"/>
        <w:tabs>
          <w:tab w:val="left" w:pos="426"/>
          <w:tab w:val="decimal" w:pos="3828"/>
          <w:tab w:val="right" w:pos="4820"/>
        </w:tabs>
        <w:ind w:left="142" w:right="283"/>
        <w:rPr>
          <w:b w:val="0"/>
          <w:sz w:val="19"/>
          <w:szCs w:val="19"/>
        </w:rPr>
      </w:pPr>
      <w:r w:rsidRPr="0099359E">
        <w:rPr>
          <w:b w:val="0"/>
          <w:sz w:val="19"/>
          <w:szCs w:val="19"/>
        </w:rPr>
        <w:t>Child Trust Fund</w:t>
      </w:r>
      <w:r w:rsidRPr="0099359E">
        <w:rPr>
          <w:b w:val="0"/>
          <w:sz w:val="19"/>
          <w:szCs w:val="19"/>
        </w:rPr>
        <w:tab/>
      </w:r>
      <w:r>
        <w:rPr>
          <w:b w:val="0"/>
          <w:sz w:val="19"/>
          <w:szCs w:val="19"/>
        </w:rPr>
        <w:t>0</w:t>
      </w:r>
      <w:r>
        <w:rPr>
          <w:b w:val="0"/>
          <w:sz w:val="19"/>
          <w:szCs w:val="19"/>
        </w:rPr>
        <w:tab/>
        <w:t>4,080</w:t>
      </w:r>
    </w:p>
    <w:p w:rsidR="009E7C7A" w:rsidRPr="00B226A6" w:rsidRDefault="009E7C7A" w:rsidP="009E7C7A">
      <w:pPr>
        <w:pStyle w:val="Subtitle"/>
        <w:tabs>
          <w:tab w:val="left" w:pos="426"/>
          <w:tab w:val="decimal" w:pos="3828"/>
          <w:tab w:val="right" w:pos="4820"/>
        </w:tabs>
        <w:ind w:left="142" w:right="283"/>
        <w:rPr>
          <w:sz w:val="16"/>
          <w:szCs w:val="16"/>
        </w:rPr>
      </w:pPr>
    </w:p>
    <w:p w:rsidR="009E7C7A" w:rsidRDefault="009E7C7A" w:rsidP="009E7C7A">
      <w:pPr>
        <w:pStyle w:val="Subtitle"/>
        <w:tabs>
          <w:tab w:val="left" w:pos="426"/>
          <w:tab w:val="decimal" w:pos="3828"/>
          <w:tab w:val="right" w:pos="4820"/>
        </w:tabs>
        <w:ind w:left="142" w:right="340"/>
        <w:rPr>
          <w:b w:val="0"/>
          <w:sz w:val="19"/>
          <w:szCs w:val="19"/>
        </w:rPr>
      </w:pPr>
      <w:r>
        <w:rPr>
          <w:b w:val="0"/>
          <w:sz w:val="19"/>
          <w:szCs w:val="19"/>
        </w:rPr>
        <w:tab/>
        <w:t>The ISA limit will be increased to £20,000 in 2017/18.</w:t>
      </w:r>
    </w:p>
    <w:p w:rsidR="009E7C7A" w:rsidRPr="0006757B" w:rsidRDefault="009E7C7A" w:rsidP="009E7C7A">
      <w:pPr>
        <w:pStyle w:val="Subtitle"/>
        <w:tabs>
          <w:tab w:val="left" w:pos="426"/>
          <w:tab w:val="decimal" w:pos="3828"/>
          <w:tab w:val="right" w:pos="4820"/>
        </w:tabs>
        <w:ind w:left="142" w:right="340"/>
        <w:rPr>
          <w:b w:val="0"/>
          <w:sz w:val="16"/>
          <w:szCs w:val="16"/>
        </w:rPr>
      </w:pPr>
    </w:p>
    <w:p w:rsidR="009E7C7A" w:rsidRDefault="009E7C7A" w:rsidP="009E7C7A">
      <w:pPr>
        <w:pStyle w:val="Subtitle"/>
        <w:tabs>
          <w:tab w:val="left" w:pos="426"/>
          <w:tab w:val="decimal" w:pos="3828"/>
          <w:tab w:val="right" w:pos="4820"/>
        </w:tabs>
        <w:ind w:left="142" w:right="340"/>
        <w:rPr>
          <w:b w:val="0"/>
          <w:sz w:val="19"/>
          <w:szCs w:val="19"/>
        </w:rPr>
      </w:pPr>
      <w:r>
        <w:rPr>
          <w:b w:val="0"/>
          <w:sz w:val="19"/>
          <w:szCs w:val="19"/>
        </w:rPr>
        <w:tab/>
        <w:t>Also in 2017/18 a new Lifetime ISA will be available to anyone under 40, who will be able to invest up to £4,000 a year.  The government will add a bonus of 25%, much like contributions to a personal pension, while the savings will earn tax-free interest, like an ISA.  The investment can be withdrawn to use as a deposit on a first home, or saved to provide a retirement income after age 60.</w:t>
      </w:r>
    </w:p>
    <w:p w:rsidR="00265471" w:rsidRDefault="009E7C7A" w:rsidP="009E7C7A">
      <w:pPr>
        <w:pStyle w:val="Subtitle"/>
        <w:tabs>
          <w:tab w:val="left" w:pos="426"/>
          <w:tab w:val="decimal" w:pos="3828"/>
          <w:tab w:val="decimal" w:pos="4962"/>
        </w:tabs>
        <w:ind w:left="142" w:right="198"/>
        <w:rPr>
          <w:sz w:val="19"/>
          <w:szCs w:val="19"/>
          <w:u w:val="single"/>
        </w:rPr>
      </w:pPr>
      <w:r w:rsidRPr="002D7BAD">
        <w:rPr>
          <w:sz w:val="19"/>
          <w:szCs w:val="19"/>
          <w:u w:val="single"/>
        </w:rPr>
        <w:tab/>
      </w:r>
      <w:r>
        <w:rPr>
          <w:sz w:val="19"/>
          <w:szCs w:val="19"/>
          <w:u w:val="single"/>
        </w:rPr>
        <w:tab/>
      </w:r>
      <w:r>
        <w:rPr>
          <w:sz w:val="19"/>
          <w:szCs w:val="19"/>
          <w:u w:val="single"/>
        </w:rPr>
        <w:tab/>
      </w:r>
    </w:p>
    <w:p w:rsidR="009E7C7A" w:rsidRDefault="009E7C7A" w:rsidP="009E7C7A">
      <w:pPr>
        <w:pStyle w:val="Subtitle"/>
        <w:tabs>
          <w:tab w:val="left" w:pos="426"/>
          <w:tab w:val="decimal" w:pos="3828"/>
          <w:tab w:val="decimal" w:pos="4820"/>
        </w:tabs>
        <w:ind w:left="142" w:right="283"/>
        <w:rPr>
          <w:b w:val="0"/>
          <w:sz w:val="16"/>
          <w:szCs w:val="16"/>
          <w:u w:val="single"/>
        </w:rPr>
      </w:pPr>
    </w:p>
    <w:p w:rsidR="00934F3F" w:rsidRPr="00B226A6" w:rsidRDefault="00934F3F" w:rsidP="00934F3F">
      <w:pPr>
        <w:pStyle w:val="Subtitle"/>
        <w:tabs>
          <w:tab w:val="left" w:pos="426"/>
        </w:tabs>
        <w:ind w:right="283"/>
        <w:jc w:val="center"/>
        <w:rPr>
          <w:sz w:val="28"/>
          <w:szCs w:val="28"/>
        </w:rPr>
      </w:pPr>
      <w:r w:rsidRPr="00B226A6">
        <w:rPr>
          <w:sz w:val="28"/>
          <w:szCs w:val="28"/>
        </w:rPr>
        <w:t>VAT</w:t>
      </w:r>
    </w:p>
    <w:p w:rsidR="00934F3F" w:rsidRPr="00B226A6" w:rsidRDefault="00934F3F" w:rsidP="00934F3F">
      <w:pPr>
        <w:pStyle w:val="Subtitle"/>
        <w:tabs>
          <w:tab w:val="left" w:pos="426"/>
        </w:tabs>
        <w:ind w:right="283"/>
        <w:jc w:val="left"/>
        <w:rPr>
          <w:b w:val="0"/>
          <w:sz w:val="16"/>
          <w:szCs w:val="16"/>
        </w:rPr>
      </w:pPr>
    </w:p>
    <w:p w:rsidR="00934F3F" w:rsidRDefault="00934F3F" w:rsidP="00BE1988">
      <w:pPr>
        <w:pStyle w:val="Subtitle"/>
        <w:tabs>
          <w:tab w:val="left" w:pos="426"/>
          <w:tab w:val="left" w:pos="4962"/>
        </w:tabs>
        <w:ind w:left="142" w:right="198"/>
        <w:rPr>
          <w:b w:val="0"/>
          <w:sz w:val="19"/>
          <w:szCs w:val="19"/>
        </w:rPr>
      </w:pPr>
      <w:r>
        <w:rPr>
          <w:b w:val="0"/>
          <w:sz w:val="19"/>
          <w:szCs w:val="19"/>
        </w:rPr>
        <w:tab/>
      </w:r>
      <w:r w:rsidRPr="000464FF">
        <w:rPr>
          <w:sz w:val="19"/>
          <w:szCs w:val="19"/>
        </w:rPr>
        <w:t>The</w:t>
      </w:r>
      <w:r>
        <w:rPr>
          <w:b w:val="0"/>
          <w:sz w:val="19"/>
          <w:szCs w:val="19"/>
        </w:rPr>
        <w:t xml:space="preserve"> registration threshold has been increased by £</w:t>
      </w:r>
      <w:r w:rsidR="005B5BD6">
        <w:rPr>
          <w:b w:val="0"/>
          <w:sz w:val="19"/>
          <w:szCs w:val="19"/>
        </w:rPr>
        <w:t>1,000</w:t>
      </w:r>
      <w:r>
        <w:rPr>
          <w:b w:val="0"/>
          <w:sz w:val="19"/>
          <w:szCs w:val="19"/>
        </w:rPr>
        <w:t xml:space="preserve"> to £</w:t>
      </w:r>
      <w:r w:rsidR="005B5BD6">
        <w:rPr>
          <w:b w:val="0"/>
          <w:sz w:val="19"/>
          <w:szCs w:val="19"/>
        </w:rPr>
        <w:t>83,000,</w:t>
      </w:r>
      <w:r>
        <w:rPr>
          <w:b w:val="0"/>
          <w:sz w:val="19"/>
          <w:szCs w:val="19"/>
        </w:rPr>
        <w:t xml:space="preserve"> </w:t>
      </w:r>
      <w:proofErr w:type="gramStart"/>
      <w:r>
        <w:rPr>
          <w:b w:val="0"/>
          <w:sz w:val="19"/>
          <w:szCs w:val="19"/>
        </w:rPr>
        <w:t>the deregistration</w:t>
      </w:r>
      <w:proofErr w:type="gramEnd"/>
      <w:r>
        <w:rPr>
          <w:b w:val="0"/>
          <w:sz w:val="19"/>
          <w:szCs w:val="19"/>
        </w:rPr>
        <w:t xml:space="preserve"> threshold has been increased by the same amount to £</w:t>
      </w:r>
      <w:r w:rsidR="00F04310">
        <w:rPr>
          <w:b w:val="0"/>
          <w:sz w:val="19"/>
          <w:szCs w:val="19"/>
        </w:rPr>
        <w:t>8</w:t>
      </w:r>
      <w:r w:rsidR="005B5BD6">
        <w:rPr>
          <w:b w:val="0"/>
          <w:sz w:val="19"/>
          <w:szCs w:val="19"/>
        </w:rPr>
        <w:t>1</w:t>
      </w:r>
      <w:r w:rsidR="00F04310">
        <w:rPr>
          <w:b w:val="0"/>
          <w:sz w:val="19"/>
          <w:szCs w:val="19"/>
        </w:rPr>
        <w:t>,000</w:t>
      </w:r>
      <w:r>
        <w:rPr>
          <w:b w:val="0"/>
          <w:sz w:val="19"/>
          <w:szCs w:val="19"/>
        </w:rPr>
        <w:t>.</w:t>
      </w:r>
    </w:p>
    <w:p w:rsidR="009D26E6" w:rsidRPr="002D7BAD" w:rsidRDefault="009D26E6" w:rsidP="00BE1988">
      <w:pPr>
        <w:pStyle w:val="BodyText"/>
        <w:tabs>
          <w:tab w:val="left" w:pos="426"/>
          <w:tab w:val="right" w:pos="4962"/>
        </w:tabs>
        <w:ind w:left="142" w:right="198"/>
        <w:jc w:val="both"/>
        <w:rPr>
          <w:szCs w:val="19"/>
          <w:u w:val="single"/>
        </w:rPr>
      </w:pPr>
      <w:r w:rsidRPr="002D7BAD">
        <w:rPr>
          <w:szCs w:val="19"/>
          <w:u w:val="single"/>
        </w:rPr>
        <w:tab/>
      </w:r>
      <w:r w:rsidRPr="002D7BAD">
        <w:rPr>
          <w:szCs w:val="19"/>
          <w:u w:val="single"/>
        </w:rPr>
        <w:tab/>
      </w:r>
    </w:p>
    <w:p w:rsidR="00BE1988" w:rsidRPr="002D7BAD" w:rsidRDefault="00BE1988" w:rsidP="00BE1988">
      <w:pPr>
        <w:pStyle w:val="BodyText"/>
        <w:tabs>
          <w:tab w:val="left" w:pos="426"/>
          <w:tab w:val="right" w:pos="4777"/>
        </w:tabs>
        <w:ind w:left="142" w:right="142"/>
        <w:jc w:val="both"/>
        <w:rPr>
          <w:szCs w:val="19"/>
        </w:rPr>
      </w:pPr>
    </w:p>
    <w:p w:rsidR="00BE1988" w:rsidRPr="001905C1" w:rsidRDefault="00BE1988" w:rsidP="00BE1988">
      <w:pPr>
        <w:pStyle w:val="BodyText"/>
        <w:tabs>
          <w:tab w:val="left" w:pos="426"/>
          <w:tab w:val="right" w:pos="4820"/>
        </w:tabs>
        <w:ind w:left="142" w:right="142"/>
        <w:jc w:val="center"/>
        <w:rPr>
          <w:b/>
          <w:sz w:val="28"/>
          <w:szCs w:val="28"/>
        </w:rPr>
      </w:pPr>
      <w:r w:rsidRPr="001905C1">
        <w:rPr>
          <w:b/>
          <w:sz w:val="28"/>
          <w:szCs w:val="28"/>
        </w:rPr>
        <w:t>Excise Duties</w:t>
      </w:r>
    </w:p>
    <w:p w:rsidR="00BE1988" w:rsidRDefault="00BE1988" w:rsidP="00BE1988">
      <w:pPr>
        <w:pStyle w:val="BodyText"/>
        <w:tabs>
          <w:tab w:val="left" w:pos="426"/>
          <w:tab w:val="right" w:pos="4820"/>
        </w:tabs>
        <w:ind w:left="142" w:right="142"/>
        <w:jc w:val="both"/>
        <w:rPr>
          <w:sz w:val="16"/>
          <w:szCs w:val="16"/>
          <w:u w:val="single"/>
        </w:rPr>
      </w:pPr>
    </w:p>
    <w:p w:rsidR="00BE1988" w:rsidRDefault="00BE1988" w:rsidP="00BE1988">
      <w:pPr>
        <w:pStyle w:val="BodyText"/>
        <w:tabs>
          <w:tab w:val="left" w:pos="426"/>
          <w:tab w:val="right" w:pos="4962"/>
        </w:tabs>
        <w:ind w:left="142" w:right="198"/>
        <w:jc w:val="both"/>
        <w:rPr>
          <w:szCs w:val="19"/>
        </w:rPr>
      </w:pPr>
      <w:r w:rsidRPr="001905C1">
        <w:rPr>
          <w:szCs w:val="19"/>
        </w:rPr>
        <w:tab/>
      </w:r>
      <w:r w:rsidRPr="00265471">
        <w:rPr>
          <w:b/>
          <w:szCs w:val="19"/>
        </w:rPr>
        <w:t>Surprisingly</w:t>
      </w:r>
      <w:r>
        <w:rPr>
          <w:szCs w:val="19"/>
        </w:rPr>
        <w:t>, the Chancellor decided not to increase excise duties on fuel, beer or spirits.  The only increases are on wine and the usual target, tobacco.</w:t>
      </w:r>
    </w:p>
    <w:p w:rsidR="00BE1988" w:rsidRPr="00BE1988" w:rsidRDefault="00BE1988" w:rsidP="00BE1988">
      <w:pPr>
        <w:pStyle w:val="BodyText"/>
        <w:tabs>
          <w:tab w:val="left" w:pos="426"/>
          <w:tab w:val="right" w:pos="4962"/>
        </w:tabs>
        <w:ind w:left="142" w:right="198"/>
        <w:jc w:val="both"/>
        <w:rPr>
          <w:sz w:val="16"/>
          <w:szCs w:val="16"/>
        </w:rPr>
      </w:pPr>
    </w:p>
    <w:sectPr w:rsidR="00BE1988" w:rsidRPr="00BE1988">
      <w:headerReference w:type="even" r:id="rId15"/>
      <w:type w:val="continuous"/>
      <w:pgSz w:w="11907" w:h="16840"/>
      <w:pgMar w:top="567" w:right="850" w:bottom="244" w:left="567" w:header="720" w:footer="561" w:gutter="0"/>
      <w:cols w:num="2" w:sep="1" w:space="1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E0" w:rsidRDefault="009E46E0">
      <w:r>
        <w:separator/>
      </w:r>
    </w:p>
  </w:endnote>
  <w:endnote w:type="continuationSeparator" w:id="0">
    <w:p w:rsidR="009E46E0" w:rsidRDefault="009E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EFF" w:usb1="40007843" w:usb2="00000001" w:usb3="00000000" w:csb0="000001BF" w:csb1="00000000"/>
  </w:font>
  <w:font w:name="Antique Olv (W1)">
    <w:panose1 w:val="00000000000000000000"/>
    <w:charset w:val="00"/>
    <w:family w:val="swiss"/>
    <w:notTrueType/>
    <w:pitch w:val="variable"/>
    <w:sig w:usb0="00000003" w:usb1="00000000" w:usb2="00000000" w:usb3="00000000" w:csb0="00000001" w:csb1="00000000"/>
  </w:font>
  <w:font w:name="Arial Rounded MT Bold">
    <w:altName w:val="Tahoma"/>
    <w:charset w:val="00"/>
    <w:family w:val="swiss"/>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Segoe UI"/>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B2" w:rsidRDefault="00E760B2">
    <w:pPr>
      <w:pStyle w:val="Footer"/>
      <w:tabs>
        <w:tab w:val="clear" w:pos="4153"/>
        <w:tab w:val="clear" w:pos="8306"/>
      </w:tabs>
      <w:jc w:val="center"/>
    </w:pPr>
    <w:r>
      <w:t>Copyright 201</w:t>
    </w:r>
    <w:r w:rsidR="0077090E">
      <w:t>6</w:t>
    </w:r>
    <w:r>
      <w:t xml:space="preserve"> David Pattinson, 233, London Road, Balderton, Newark, Nottinghamshire. NG24 3HA</w:t>
    </w:r>
  </w:p>
  <w:p w:rsidR="00E760B2" w:rsidRDefault="00E760B2">
    <w:pPr>
      <w:pStyle w:val="Footer"/>
      <w:tabs>
        <w:tab w:val="clear" w:pos="4153"/>
        <w:tab w:val="clear" w:pos="8306"/>
      </w:tabs>
      <w:jc w:val="center"/>
    </w:pPr>
    <w:r>
      <w:t>Fax: 01636 706544 Website: www.davidpattinson.co.uk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E0" w:rsidRDefault="009E46E0">
      <w:r>
        <w:separator/>
      </w:r>
    </w:p>
  </w:footnote>
  <w:footnote w:type="continuationSeparator" w:id="0">
    <w:p w:rsidR="009E46E0" w:rsidRDefault="009E4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B2" w:rsidRDefault="00E760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1E7"/>
    <w:multiLevelType w:val="singleLevel"/>
    <w:tmpl w:val="4E58EFC6"/>
    <w:lvl w:ilvl="0">
      <w:start w:val="1"/>
      <w:numFmt w:val="lowerRoman"/>
      <w:lvlText w:val="(%1)"/>
      <w:lvlJc w:val="left"/>
      <w:pPr>
        <w:tabs>
          <w:tab w:val="num" w:pos="720"/>
        </w:tabs>
        <w:ind w:left="720" w:hanging="720"/>
      </w:pPr>
      <w:rPr>
        <w:rFonts w:hint="default"/>
      </w:rPr>
    </w:lvl>
  </w:abstractNum>
  <w:abstractNum w:abstractNumId="1">
    <w:nsid w:val="089141A4"/>
    <w:multiLevelType w:val="hybridMultilevel"/>
    <w:tmpl w:val="9F8C3D14"/>
    <w:lvl w:ilvl="0" w:tplc="161449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A0513C0"/>
    <w:multiLevelType w:val="singleLevel"/>
    <w:tmpl w:val="AD52BDAA"/>
    <w:lvl w:ilvl="0">
      <w:start w:val="1"/>
      <w:numFmt w:val="lowerRoman"/>
      <w:lvlText w:val="(%1)"/>
      <w:lvlJc w:val="left"/>
      <w:pPr>
        <w:tabs>
          <w:tab w:val="num" w:pos="1065"/>
        </w:tabs>
        <w:ind w:left="1065" w:hanging="720"/>
      </w:pPr>
      <w:rPr>
        <w:rFonts w:hint="default"/>
      </w:rPr>
    </w:lvl>
  </w:abstractNum>
  <w:abstractNum w:abstractNumId="3">
    <w:nsid w:val="0CCC1A25"/>
    <w:multiLevelType w:val="singleLevel"/>
    <w:tmpl w:val="0809000F"/>
    <w:lvl w:ilvl="0">
      <w:start w:val="1"/>
      <w:numFmt w:val="decimal"/>
      <w:lvlText w:val="%1."/>
      <w:lvlJc w:val="left"/>
      <w:pPr>
        <w:tabs>
          <w:tab w:val="num" w:pos="360"/>
        </w:tabs>
        <w:ind w:left="360" w:hanging="360"/>
      </w:pPr>
    </w:lvl>
  </w:abstractNum>
  <w:abstractNum w:abstractNumId="4">
    <w:nsid w:val="171370F6"/>
    <w:multiLevelType w:val="singleLevel"/>
    <w:tmpl w:val="0809000F"/>
    <w:lvl w:ilvl="0">
      <w:start w:val="1"/>
      <w:numFmt w:val="decimal"/>
      <w:lvlText w:val="%1."/>
      <w:lvlJc w:val="left"/>
      <w:pPr>
        <w:tabs>
          <w:tab w:val="num" w:pos="360"/>
        </w:tabs>
        <w:ind w:left="360" w:hanging="360"/>
      </w:pPr>
    </w:lvl>
  </w:abstractNum>
  <w:abstractNum w:abstractNumId="5">
    <w:nsid w:val="1E3D34F7"/>
    <w:multiLevelType w:val="singleLevel"/>
    <w:tmpl w:val="0809000F"/>
    <w:lvl w:ilvl="0">
      <w:start w:val="1"/>
      <w:numFmt w:val="decimal"/>
      <w:lvlText w:val="%1."/>
      <w:lvlJc w:val="left"/>
      <w:pPr>
        <w:tabs>
          <w:tab w:val="num" w:pos="360"/>
        </w:tabs>
        <w:ind w:left="360" w:hanging="360"/>
      </w:pPr>
    </w:lvl>
  </w:abstractNum>
  <w:abstractNum w:abstractNumId="6">
    <w:nsid w:val="2039722D"/>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nsid w:val="27D66837"/>
    <w:multiLevelType w:val="hybridMultilevel"/>
    <w:tmpl w:val="E7DC6478"/>
    <w:lvl w:ilvl="0" w:tplc="A63259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2DD44DFD"/>
    <w:multiLevelType w:val="singleLevel"/>
    <w:tmpl w:val="68A86D2C"/>
    <w:lvl w:ilvl="0">
      <w:start w:val="1"/>
      <w:numFmt w:val="decimal"/>
      <w:lvlText w:val="%1."/>
      <w:lvlJc w:val="left"/>
      <w:pPr>
        <w:tabs>
          <w:tab w:val="num" w:pos="570"/>
        </w:tabs>
        <w:ind w:left="570" w:hanging="570"/>
      </w:pPr>
      <w:rPr>
        <w:rFonts w:hint="default"/>
      </w:rPr>
    </w:lvl>
  </w:abstractNum>
  <w:abstractNum w:abstractNumId="9">
    <w:nsid w:val="303A6ACE"/>
    <w:multiLevelType w:val="hybridMultilevel"/>
    <w:tmpl w:val="C690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114640"/>
    <w:multiLevelType w:val="singleLevel"/>
    <w:tmpl w:val="0809000F"/>
    <w:lvl w:ilvl="0">
      <w:start w:val="1"/>
      <w:numFmt w:val="decimal"/>
      <w:lvlText w:val="%1."/>
      <w:lvlJc w:val="left"/>
      <w:pPr>
        <w:tabs>
          <w:tab w:val="num" w:pos="360"/>
        </w:tabs>
        <w:ind w:left="360" w:hanging="360"/>
      </w:pPr>
    </w:lvl>
  </w:abstractNum>
  <w:abstractNum w:abstractNumId="11">
    <w:nsid w:val="3D373480"/>
    <w:multiLevelType w:val="singleLevel"/>
    <w:tmpl w:val="0809000F"/>
    <w:lvl w:ilvl="0">
      <w:start w:val="1"/>
      <w:numFmt w:val="decimal"/>
      <w:lvlText w:val="%1."/>
      <w:lvlJc w:val="left"/>
      <w:pPr>
        <w:tabs>
          <w:tab w:val="num" w:pos="360"/>
        </w:tabs>
        <w:ind w:left="360" w:hanging="360"/>
      </w:pPr>
    </w:lvl>
  </w:abstractNum>
  <w:abstractNum w:abstractNumId="12">
    <w:nsid w:val="3D633E24"/>
    <w:multiLevelType w:val="singleLevel"/>
    <w:tmpl w:val="6D36376E"/>
    <w:lvl w:ilvl="0">
      <w:start w:val="1"/>
      <w:numFmt w:val="decimal"/>
      <w:lvlText w:val="%1."/>
      <w:lvlJc w:val="left"/>
      <w:pPr>
        <w:tabs>
          <w:tab w:val="num" w:pos="405"/>
        </w:tabs>
        <w:ind w:left="405" w:hanging="405"/>
      </w:pPr>
      <w:rPr>
        <w:rFonts w:hint="default"/>
      </w:rPr>
    </w:lvl>
  </w:abstractNum>
  <w:abstractNum w:abstractNumId="13">
    <w:nsid w:val="40FE1891"/>
    <w:multiLevelType w:val="singleLevel"/>
    <w:tmpl w:val="5B704328"/>
    <w:lvl w:ilvl="0">
      <w:start w:val="1"/>
      <w:numFmt w:val="decimal"/>
      <w:lvlText w:val="%1."/>
      <w:lvlJc w:val="left"/>
      <w:pPr>
        <w:tabs>
          <w:tab w:val="num" w:pos="502"/>
        </w:tabs>
        <w:ind w:left="502" w:hanging="360"/>
      </w:pPr>
      <w:rPr>
        <w:rFonts w:hint="default"/>
      </w:rPr>
    </w:lvl>
  </w:abstractNum>
  <w:abstractNum w:abstractNumId="14">
    <w:nsid w:val="46C70FAF"/>
    <w:multiLevelType w:val="singleLevel"/>
    <w:tmpl w:val="0809000F"/>
    <w:lvl w:ilvl="0">
      <w:start w:val="1"/>
      <w:numFmt w:val="decimal"/>
      <w:lvlText w:val="%1."/>
      <w:lvlJc w:val="left"/>
      <w:pPr>
        <w:tabs>
          <w:tab w:val="num" w:pos="360"/>
        </w:tabs>
        <w:ind w:left="360" w:hanging="360"/>
      </w:pPr>
    </w:lvl>
  </w:abstractNum>
  <w:abstractNum w:abstractNumId="15">
    <w:nsid w:val="4E4906E2"/>
    <w:multiLevelType w:val="hybridMultilevel"/>
    <w:tmpl w:val="BF0A8B78"/>
    <w:lvl w:ilvl="0" w:tplc="A1BAEFA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50756D83"/>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50866487"/>
    <w:multiLevelType w:val="singleLevel"/>
    <w:tmpl w:val="0809000F"/>
    <w:lvl w:ilvl="0">
      <w:start w:val="1"/>
      <w:numFmt w:val="decimal"/>
      <w:lvlText w:val="%1."/>
      <w:lvlJc w:val="left"/>
      <w:pPr>
        <w:tabs>
          <w:tab w:val="num" w:pos="360"/>
        </w:tabs>
        <w:ind w:left="360" w:hanging="360"/>
      </w:pPr>
    </w:lvl>
  </w:abstractNum>
  <w:abstractNum w:abstractNumId="18">
    <w:nsid w:val="54D2369C"/>
    <w:multiLevelType w:val="singleLevel"/>
    <w:tmpl w:val="6D8E56FC"/>
    <w:lvl w:ilvl="0">
      <w:start w:val="1"/>
      <w:numFmt w:val="decimal"/>
      <w:lvlText w:val="%1."/>
      <w:lvlJc w:val="left"/>
      <w:pPr>
        <w:tabs>
          <w:tab w:val="num" w:pos="517"/>
        </w:tabs>
        <w:ind w:left="517" w:hanging="375"/>
      </w:pPr>
      <w:rPr>
        <w:rFonts w:hint="default"/>
      </w:rPr>
    </w:lvl>
  </w:abstractNum>
  <w:abstractNum w:abstractNumId="19">
    <w:nsid w:val="596C3C61"/>
    <w:multiLevelType w:val="singleLevel"/>
    <w:tmpl w:val="0809000F"/>
    <w:lvl w:ilvl="0">
      <w:start w:val="1"/>
      <w:numFmt w:val="decimal"/>
      <w:lvlText w:val="%1."/>
      <w:lvlJc w:val="left"/>
      <w:pPr>
        <w:tabs>
          <w:tab w:val="num" w:pos="360"/>
        </w:tabs>
        <w:ind w:left="360" w:hanging="360"/>
      </w:pPr>
      <w:rPr>
        <w:rFonts w:hint="default"/>
      </w:rPr>
    </w:lvl>
  </w:abstractNum>
  <w:abstractNum w:abstractNumId="20">
    <w:nsid w:val="5A4977DF"/>
    <w:multiLevelType w:val="singleLevel"/>
    <w:tmpl w:val="0DA26F10"/>
    <w:lvl w:ilvl="0">
      <w:start w:val="1"/>
      <w:numFmt w:val="decimal"/>
      <w:lvlText w:val="%1."/>
      <w:lvlJc w:val="left"/>
      <w:pPr>
        <w:tabs>
          <w:tab w:val="num" w:pos="667"/>
        </w:tabs>
        <w:ind w:left="667" w:hanging="525"/>
      </w:pPr>
      <w:rPr>
        <w:rFonts w:hint="default"/>
      </w:rPr>
    </w:lvl>
  </w:abstractNum>
  <w:abstractNum w:abstractNumId="21">
    <w:nsid w:val="5C1F4A18"/>
    <w:multiLevelType w:val="singleLevel"/>
    <w:tmpl w:val="814A55C0"/>
    <w:lvl w:ilvl="0">
      <w:start w:val="1"/>
      <w:numFmt w:val="decimal"/>
      <w:lvlText w:val="%1."/>
      <w:lvlJc w:val="left"/>
      <w:pPr>
        <w:tabs>
          <w:tab w:val="num" w:pos="375"/>
        </w:tabs>
        <w:ind w:left="375" w:hanging="375"/>
      </w:pPr>
      <w:rPr>
        <w:rFonts w:hint="default"/>
      </w:rPr>
    </w:lvl>
  </w:abstractNum>
  <w:abstractNum w:abstractNumId="22">
    <w:nsid w:val="5C99297B"/>
    <w:multiLevelType w:val="hybridMultilevel"/>
    <w:tmpl w:val="5E484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EA233B"/>
    <w:multiLevelType w:val="singleLevel"/>
    <w:tmpl w:val="0809000F"/>
    <w:lvl w:ilvl="0">
      <w:start w:val="1"/>
      <w:numFmt w:val="decimal"/>
      <w:lvlText w:val="%1."/>
      <w:lvlJc w:val="left"/>
      <w:pPr>
        <w:tabs>
          <w:tab w:val="num" w:pos="360"/>
        </w:tabs>
        <w:ind w:left="360" w:hanging="360"/>
      </w:pPr>
    </w:lvl>
  </w:abstractNum>
  <w:abstractNum w:abstractNumId="24">
    <w:nsid w:val="5E13514E"/>
    <w:multiLevelType w:val="singleLevel"/>
    <w:tmpl w:val="0809000F"/>
    <w:lvl w:ilvl="0">
      <w:start w:val="1"/>
      <w:numFmt w:val="decimal"/>
      <w:lvlText w:val="%1."/>
      <w:lvlJc w:val="left"/>
      <w:pPr>
        <w:tabs>
          <w:tab w:val="num" w:pos="360"/>
        </w:tabs>
        <w:ind w:left="360" w:hanging="360"/>
      </w:pPr>
      <w:rPr>
        <w:rFonts w:hint="default"/>
      </w:rPr>
    </w:lvl>
  </w:abstractNum>
  <w:abstractNum w:abstractNumId="25">
    <w:nsid w:val="660B7018"/>
    <w:multiLevelType w:val="singleLevel"/>
    <w:tmpl w:val="0809000F"/>
    <w:lvl w:ilvl="0">
      <w:start w:val="1"/>
      <w:numFmt w:val="decimal"/>
      <w:lvlText w:val="%1."/>
      <w:lvlJc w:val="left"/>
      <w:pPr>
        <w:tabs>
          <w:tab w:val="num" w:pos="360"/>
        </w:tabs>
        <w:ind w:left="360" w:hanging="360"/>
      </w:pPr>
      <w:rPr>
        <w:rFonts w:hint="default"/>
      </w:rPr>
    </w:lvl>
  </w:abstractNum>
  <w:abstractNum w:abstractNumId="26">
    <w:nsid w:val="674B771C"/>
    <w:multiLevelType w:val="singleLevel"/>
    <w:tmpl w:val="0809000F"/>
    <w:lvl w:ilvl="0">
      <w:start w:val="1"/>
      <w:numFmt w:val="decimal"/>
      <w:lvlText w:val="%1."/>
      <w:lvlJc w:val="left"/>
      <w:pPr>
        <w:tabs>
          <w:tab w:val="num" w:pos="360"/>
        </w:tabs>
        <w:ind w:left="360" w:hanging="360"/>
      </w:pPr>
      <w:rPr>
        <w:rFonts w:hint="default"/>
      </w:rPr>
    </w:lvl>
  </w:abstractNum>
  <w:abstractNum w:abstractNumId="27">
    <w:nsid w:val="6A034150"/>
    <w:multiLevelType w:val="singleLevel"/>
    <w:tmpl w:val="0809000F"/>
    <w:lvl w:ilvl="0">
      <w:start w:val="1"/>
      <w:numFmt w:val="decimal"/>
      <w:lvlText w:val="%1."/>
      <w:lvlJc w:val="left"/>
      <w:pPr>
        <w:tabs>
          <w:tab w:val="num" w:pos="360"/>
        </w:tabs>
        <w:ind w:left="360" w:hanging="360"/>
      </w:pPr>
      <w:rPr>
        <w:rFonts w:hint="default"/>
      </w:rPr>
    </w:lvl>
  </w:abstractNum>
  <w:abstractNum w:abstractNumId="28">
    <w:nsid w:val="6AB43E36"/>
    <w:multiLevelType w:val="singleLevel"/>
    <w:tmpl w:val="0809000F"/>
    <w:lvl w:ilvl="0">
      <w:start w:val="1"/>
      <w:numFmt w:val="decimal"/>
      <w:lvlText w:val="%1."/>
      <w:lvlJc w:val="left"/>
      <w:pPr>
        <w:tabs>
          <w:tab w:val="num" w:pos="360"/>
        </w:tabs>
        <w:ind w:left="360" w:hanging="360"/>
      </w:pPr>
    </w:lvl>
  </w:abstractNum>
  <w:abstractNum w:abstractNumId="29">
    <w:nsid w:val="6B2824C1"/>
    <w:multiLevelType w:val="hybridMultilevel"/>
    <w:tmpl w:val="E1620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CE60DB"/>
    <w:multiLevelType w:val="singleLevel"/>
    <w:tmpl w:val="0809000F"/>
    <w:lvl w:ilvl="0">
      <w:start w:val="1"/>
      <w:numFmt w:val="decimal"/>
      <w:lvlText w:val="%1."/>
      <w:lvlJc w:val="left"/>
      <w:pPr>
        <w:tabs>
          <w:tab w:val="num" w:pos="360"/>
        </w:tabs>
        <w:ind w:left="360" w:hanging="360"/>
      </w:pPr>
      <w:rPr>
        <w:rFonts w:hint="default"/>
      </w:rPr>
    </w:lvl>
  </w:abstractNum>
  <w:abstractNum w:abstractNumId="31">
    <w:nsid w:val="6D7C7FF9"/>
    <w:multiLevelType w:val="multilevel"/>
    <w:tmpl w:val="CC20A35A"/>
    <w:lvl w:ilvl="0">
      <w:start w:val="1"/>
      <w:numFmt w:val="decimal"/>
      <w:lvlText w:val="%1."/>
      <w:lvlJc w:val="left"/>
      <w:pPr>
        <w:tabs>
          <w:tab w:val="num" w:pos="420"/>
        </w:tabs>
        <w:ind w:left="420" w:hanging="4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F88069D"/>
    <w:multiLevelType w:val="singleLevel"/>
    <w:tmpl w:val="D8248088"/>
    <w:lvl w:ilvl="0">
      <w:start w:val="1"/>
      <w:numFmt w:val="decimal"/>
      <w:lvlText w:val="%1."/>
      <w:lvlJc w:val="left"/>
      <w:pPr>
        <w:tabs>
          <w:tab w:val="num" w:pos="502"/>
        </w:tabs>
        <w:ind w:left="502" w:hanging="360"/>
      </w:pPr>
      <w:rPr>
        <w:rFonts w:hint="default"/>
      </w:rPr>
    </w:lvl>
  </w:abstractNum>
  <w:abstractNum w:abstractNumId="33">
    <w:nsid w:val="7160363C"/>
    <w:multiLevelType w:val="singleLevel"/>
    <w:tmpl w:val="9168D4EA"/>
    <w:lvl w:ilvl="0">
      <w:start w:val="1"/>
      <w:numFmt w:val="decimal"/>
      <w:lvlText w:val="%1."/>
      <w:lvlJc w:val="left"/>
      <w:pPr>
        <w:tabs>
          <w:tab w:val="num" w:pos="502"/>
        </w:tabs>
        <w:ind w:left="502" w:hanging="360"/>
      </w:pPr>
      <w:rPr>
        <w:rFonts w:hint="default"/>
      </w:rPr>
    </w:lvl>
  </w:abstractNum>
  <w:abstractNum w:abstractNumId="34">
    <w:nsid w:val="729B6DB3"/>
    <w:multiLevelType w:val="singleLevel"/>
    <w:tmpl w:val="0809000F"/>
    <w:lvl w:ilvl="0">
      <w:start w:val="1"/>
      <w:numFmt w:val="decimal"/>
      <w:lvlText w:val="%1."/>
      <w:lvlJc w:val="left"/>
      <w:pPr>
        <w:tabs>
          <w:tab w:val="num" w:pos="360"/>
        </w:tabs>
        <w:ind w:left="360" w:hanging="360"/>
      </w:pPr>
    </w:lvl>
  </w:abstractNum>
  <w:abstractNum w:abstractNumId="35">
    <w:nsid w:val="743E2E63"/>
    <w:multiLevelType w:val="singleLevel"/>
    <w:tmpl w:val="73829DEE"/>
    <w:lvl w:ilvl="0">
      <w:start w:val="1"/>
      <w:numFmt w:val="decimal"/>
      <w:lvlText w:val="%1."/>
      <w:lvlJc w:val="left"/>
      <w:pPr>
        <w:tabs>
          <w:tab w:val="num" w:pos="502"/>
        </w:tabs>
        <w:ind w:left="502" w:hanging="360"/>
      </w:pPr>
      <w:rPr>
        <w:rFonts w:hint="default"/>
      </w:rPr>
    </w:lvl>
  </w:abstractNum>
  <w:abstractNum w:abstractNumId="36">
    <w:nsid w:val="74FE744A"/>
    <w:multiLevelType w:val="singleLevel"/>
    <w:tmpl w:val="0809000F"/>
    <w:lvl w:ilvl="0">
      <w:start w:val="1"/>
      <w:numFmt w:val="decimal"/>
      <w:lvlText w:val="%1."/>
      <w:lvlJc w:val="left"/>
      <w:pPr>
        <w:tabs>
          <w:tab w:val="num" w:pos="360"/>
        </w:tabs>
        <w:ind w:left="360" w:hanging="360"/>
      </w:pPr>
      <w:rPr>
        <w:rFonts w:hint="default"/>
      </w:rPr>
    </w:lvl>
  </w:abstractNum>
  <w:abstractNum w:abstractNumId="37">
    <w:nsid w:val="760330F9"/>
    <w:multiLevelType w:val="singleLevel"/>
    <w:tmpl w:val="1ED41230"/>
    <w:lvl w:ilvl="0">
      <w:start w:val="1"/>
      <w:numFmt w:val="decimal"/>
      <w:lvlText w:val="%1."/>
      <w:lvlJc w:val="left"/>
      <w:pPr>
        <w:tabs>
          <w:tab w:val="num" w:pos="435"/>
        </w:tabs>
        <w:ind w:left="435" w:hanging="435"/>
      </w:pPr>
      <w:rPr>
        <w:rFonts w:hint="default"/>
      </w:rPr>
    </w:lvl>
  </w:abstractNum>
  <w:abstractNum w:abstractNumId="38">
    <w:nsid w:val="7ACA5C95"/>
    <w:multiLevelType w:val="singleLevel"/>
    <w:tmpl w:val="2B9431D2"/>
    <w:lvl w:ilvl="0">
      <w:start w:val="1"/>
      <w:numFmt w:val="decimal"/>
      <w:lvlText w:val="%1."/>
      <w:lvlJc w:val="left"/>
      <w:pPr>
        <w:tabs>
          <w:tab w:val="num" w:pos="405"/>
        </w:tabs>
        <w:ind w:left="405" w:hanging="405"/>
      </w:pPr>
      <w:rPr>
        <w:rFonts w:hint="default"/>
      </w:rPr>
    </w:lvl>
  </w:abstractNum>
  <w:abstractNum w:abstractNumId="39">
    <w:nsid w:val="7DB72620"/>
    <w:multiLevelType w:val="singleLevel"/>
    <w:tmpl w:val="0809000F"/>
    <w:lvl w:ilvl="0">
      <w:start w:val="1"/>
      <w:numFmt w:val="decimal"/>
      <w:lvlText w:val="%1."/>
      <w:lvlJc w:val="left"/>
      <w:pPr>
        <w:tabs>
          <w:tab w:val="num" w:pos="360"/>
        </w:tabs>
        <w:ind w:left="360" w:hanging="360"/>
      </w:pPr>
      <w:rPr>
        <w:rFonts w:hint="default"/>
      </w:rPr>
    </w:lvl>
  </w:abstractNum>
  <w:num w:numId="1">
    <w:abstractNumId w:val="8"/>
  </w:num>
  <w:num w:numId="2">
    <w:abstractNumId w:val="39"/>
  </w:num>
  <w:num w:numId="3">
    <w:abstractNumId w:val="25"/>
  </w:num>
  <w:num w:numId="4">
    <w:abstractNumId w:val="2"/>
  </w:num>
  <w:num w:numId="5">
    <w:abstractNumId w:val="26"/>
  </w:num>
  <w:num w:numId="6">
    <w:abstractNumId w:val="16"/>
  </w:num>
  <w:num w:numId="7">
    <w:abstractNumId w:val="0"/>
  </w:num>
  <w:num w:numId="8">
    <w:abstractNumId w:val="3"/>
  </w:num>
  <w:num w:numId="9">
    <w:abstractNumId w:val="5"/>
  </w:num>
  <w:num w:numId="10">
    <w:abstractNumId w:val="10"/>
  </w:num>
  <w:num w:numId="11">
    <w:abstractNumId w:val="11"/>
  </w:num>
  <w:num w:numId="12">
    <w:abstractNumId w:val="34"/>
  </w:num>
  <w:num w:numId="13">
    <w:abstractNumId w:val="28"/>
  </w:num>
  <w:num w:numId="14">
    <w:abstractNumId w:val="23"/>
  </w:num>
  <w:num w:numId="15">
    <w:abstractNumId w:val="24"/>
  </w:num>
  <w:num w:numId="16">
    <w:abstractNumId w:val="21"/>
  </w:num>
  <w:num w:numId="17">
    <w:abstractNumId w:val="4"/>
  </w:num>
  <w:num w:numId="18">
    <w:abstractNumId w:val="17"/>
  </w:num>
  <w:num w:numId="19">
    <w:abstractNumId w:val="37"/>
  </w:num>
  <w:num w:numId="20">
    <w:abstractNumId w:val="14"/>
  </w:num>
  <w:num w:numId="21">
    <w:abstractNumId w:val="36"/>
  </w:num>
  <w:num w:numId="22">
    <w:abstractNumId w:val="6"/>
  </w:num>
  <w:num w:numId="23">
    <w:abstractNumId w:val="27"/>
  </w:num>
  <w:num w:numId="24">
    <w:abstractNumId w:val="30"/>
  </w:num>
  <w:num w:numId="25">
    <w:abstractNumId w:val="12"/>
  </w:num>
  <w:num w:numId="26">
    <w:abstractNumId w:val="38"/>
  </w:num>
  <w:num w:numId="27">
    <w:abstractNumId w:val="19"/>
  </w:num>
  <w:num w:numId="28">
    <w:abstractNumId w:val="31"/>
  </w:num>
  <w:num w:numId="29">
    <w:abstractNumId w:val="20"/>
  </w:num>
  <w:num w:numId="30">
    <w:abstractNumId w:val="32"/>
  </w:num>
  <w:num w:numId="31">
    <w:abstractNumId w:val="13"/>
  </w:num>
  <w:num w:numId="32">
    <w:abstractNumId w:val="33"/>
  </w:num>
  <w:num w:numId="33">
    <w:abstractNumId w:val="18"/>
  </w:num>
  <w:num w:numId="34">
    <w:abstractNumId w:val="35"/>
  </w:num>
  <w:num w:numId="35">
    <w:abstractNumId w:val="9"/>
  </w:num>
  <w:num w:numId="36">
    <w:abstractNumId w:val="29"/>
  </w:num>
  <w:num w:numId="37">
    <w:abstractNumId w:val="22"/>
  </w:num>
  <w:num w:numId="38">
    <w:abstractNumId w:val="1"/>
  </w:num>
  <w:num w:numId="39">
    <w:abstractNumId w:val="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C2E"/>
    <w:rsid w:val="00006A9E"/>
    <w:rsid w:val="0003075F"/>
    <w:rsid w:val="0004255E"/>
    <w:rsid w:val="000464FF"/>
    <w:rsid w:val="00050C2E"/>
    <w:rsid w:val="0006757B"/>
    <w:rsid w:val="000712E4"/>
    <w:rsid w:val="00074308"/>
    <w:rsid w:val="0007434D"/>
    <w:rsid w:val="00096C45"/>
    <w:rsid w:val="000B3DE1"/>
    <w:rsid w:val="000D081B"/>
    <w:rsid w:val="00115293"/>
    <w:rsid w:val="00151BE2"/>
    <w:rsid w:val="001905C1"/>
    <w:rsid w:val="00192D22"/>
    <w:rsid w:val="00232DD1"/>
    <w:rsid w:val="00236486"/>
    <w:rsid w:val="002568A4"/>
    <w:rsid w:val="002610C4"/>
    <w:rsid w:val="00265471"/>
    <w:rsid w:val="002D7BAD"/>
    <w:rsid w:val="002E46A6"/>
    <w:rsid w:val="00360E83"/>
    <w:rsid w:val="003A1743"/>
    <w:rsid w:val="003A1F79"/>
    <w:rsid w:val="003C23B1"/>
    <w:rsid w:val="003D4976"/>
    <w:rsid w:val="00471400"/>
    <w:rsid w:val="004B57D1"/>
    <w:rsid w:val="004E104C"/>
    <w:rsid w:val="004E743B"/>
    <w:rsid w:val="004F060C"/>
    <w:rsid w:val="004F2CE3"/>
    <w:rsid w:val="00531F98"/>
    <w:rsid w:val="00575865"/>
    <w:rsid w:val="0057622F"/>
    <w:rsid w:val="005B5BD6"/>
    <w:rsid w:val="005C2FD4"/>
    <w:rsid w:val="005F3407"/>
    <w:rsid w:val="00612236"/>
    <w:rsid w:val="0062566F"/>
    <w:rsid w:val="006321A0"/>
    <w:rsid w:val="00641C68"/>
    <w:rsid w:val="00644ED5"/>
    <w:rsid w:val="00651ACC"/>
    <w:rsid w:val="006828F5"/>
    <w:rsid w:val="00682E17"/>
    <w:rsid w:val="006C77E3"/>
    <w:rsid w:val="006D2AD0"/>
    <w:rsid w:val="006D5607"/>
    <w:rsid w:val="006F34AE"/>
    <w:rsid w:val="00706689"/>
    <w:rsid w:val="007307A9"/>
    <w:rsid w:val="00745D43"/>
    <w:rsid w:val="00753B2A"/>
    <w:rsid w:val="0077090E"/>
    <w:rsid w:val="007A6EA0"/>
    <w:rsid w:val="00832267"/>
    <w:rsid w:val="008573A7"/>
    <w:rsid w:val="00897620"/>
    <w:rsid w:val="008C5A2C"/>
    <w:rsid w:val="008E0BD2"/>
    <w:rsid w:val="009210F3"/>
    <w:rsid w:val="00934F3F"/>
    <w:rsid w:val="009358DE"/>
    <w:rsid w:val="0099359E"/>
    <w:rsid w:val="009B4649"/>
    <w:rsid w:val="009D106E"/>
    <w:rsid w:val="009D26E6"/>
    <w:rsid w:val="009E46E0"/>
    <w:rsid w:val="009E7C7A"/>
    <w:rsid w:val="009F71C5"/>
    <w:rsid w:val="00A03233"/>
    <w:rsid w:val="00A04615"/>
    <w:rsid w:val="00A05A8F"/>
    <w:rsid w:val="00A43D2B"/>
    <w:rsid w:val="00AB31D8"/>
    <w:rsid w:val="00AB6C94"/>
    <w:rsid w:val="00AE3EFD"/>
    <w:rsid w:val="00AF5CEF"/>
    <w:rsid w:val="00B01BF2"/>
    <w:rsid w:val="00B14CCD"/>
    <w:rsid w:val="00B226A6"/>
    <w:rsid w:val="00B37140"/>
    <w:rsid w:val="00BB7B1A"/>
    <w:rsid w:val="00BC2FDE"/>
    <w:rsid w:val="00BE1988"/>
    <w:rsid w:val="00C07063"/>
    <w:rsid w:val="00C2419F"/>
    <w:rsid w:val="00C47050"/>
    <w:rsid w:val="00C47F79"/>
    <w:rsid w:val="00C63FAB"/>
    <w:rsid w:val="00D86DBB"/>
    <w:rsid w:val="00D9115D"/>
    <w:rsid w:val="00DB5761"/>
    <w:rsid w:val="00DC7B27"/>
    <w:rsid w:val="00DF078A"/>
    <w:rsid w:val="00E12980"/>
    <w:rsid w:val="00E63BDB"/>
    <w:rsid w:val="00E731E7"/>
    <w:rsid w:val="00E760B2"/>
    <w:rsid w:val="00E9279B"/>
    <w:rsid w:val="00EC029B"/>
    <w:rsid w:val="00EC7EFB"/>
    <w:rsid w:val="00EF2318"/>
    <w:rsid w:val="00EF65F9"/>
    <w:rsid w:val="00F04310"/>
    <w:rsid w:val="00F4599C"/>
    <w:rsid w:val="00F91C10"/>
    <w:rsid w:val="00FB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ntique Olv (W1)" w:hAnsi="Antique Olv (W1)"/>
      <w:sz w:val="22"/>
    </w:rPr>
  </w:style>
  <w:style w:type="paragraph" w:styleId="Heading1">
    <w:name w:val="heading 1"/>
    <w:basedOn w:val="Normal"/>
    <w:next w:val="Normal"/>
    <w:qFormat/>
    <w:pPr>
      <w:keepNext/>
      <w:tabs>
        <w:tab w:val="right" w:pos="10065"/>
      </w:tabs>
      <w:jc w:val="center"/>
      <w:outlineLvl w:val="0"/>
    </w:pPr>
    <w:rPr>
      <w:b/>
      <w:sz w:val="18"/>
    </w:rPr>
  </w:style>
  <w:style w:type="paragraph" w:styleId="Heading2">
    <w:name w:val="heading 2"/>
    <w:basedOn w:val="Normal"/>
    <w:next w:val="Normal"/>
    <w:qFormat/>
    <w:pPr>
      <w:keepNext/>
      <w:tabs>
        <w:tab w:val="left" w:pos="284"/>
        <w:tab w:val="right" w:pos="10065"/>
      </w:tabs>
      <w:jc w:val="center"/>
      <w:outlineLvl w:val="1"/>
    </w:pPr>
    <w:rPr>
      <w:b/>
      <w:sz w:val="2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tabs>
        <w:tab w:val="right" w:pos="10065"/>
      </w:tabs>
      <w:jc w:val="center"/>
      <w:outlineLvl w:val="3"/>
    </w:pPr>
    <w:rPr>
      <w:rFonts w:ascii="Arial Rounded MT Bold" w:hAnsi="Arial Rounded MT Bold"/>
      <w:i/>
      <w:sz w:val="48"/>
    </w:rPr>
  </w:style>
  <w:style w:type="paragraph" w:styleId="Heading5">
    <w:name w:val="heading 5"/>
    <w:basedOn w:val="Normal"/>
    <w:next w:val="Normal"/>
    <w:qFormat/>
    <w:pPr>
      <w:keepNext/>
      <w:tabs>
        <w:tab w:val="right" w:pos="10065"/>
      </w:tabs>
      <w:jc w:val="center"/>
      <w:outlineLvl w:val="4"/>
    </w:pPr>
    <w:rPr>
      <w:b/>
      <w:sz w:val="26"/>
    </w:rPr>
  </w:style>
  <w:style w:type="paragraph" w:styleId="Heading6">
    <w:name w:val="heading 6"/>
    <w:basedOn w:val="Normal"/>
    <w:next w:val="Normal"/>
    <w:qFormat/>
    <w:pPr>
      <w:keepNext/>
      <w:tabs>
        <w:tab w:val="left" w:pos="284"/>
      </w:tabs>
      <w:ind w:right="56"/>
      <w:jc w:val="center"/>
      <w:outlineLvl w:val="5"/>
    </w:pPr>
    <w:rPr>
      <w:rFonts w:ascii="Antique Olive" w:hAnsi="Antique Olive"/>
      <w:b/>
      <w:sz w:val="24"/>
    </w:rPr>
  </w:style>
  <w:style w:type="paragraph" w:styleId="Heading7">
    <w:name w:val="heading 7"/>
    <w:basedOn w:val="Normal"/>
    <w:next w:val="Normal"/>
    <w:qFormat/>
    <w:pPr>
      <w:keepNext/>
      <w:pBdr>
        <w:top w:val="single" w:sz="4" w:space="1" w:color="auto"/>
      </w:pBdr>
      <w:tabs>
        <w:tab w:val="left" w:pos="284"/>
        <w:tab w:val="right" w:pos="10065"/>
      </w:tabs>
      <w:jc w:val="center"/>
      <w:outlineLvl w:val="6"/>
    </w:pPr>
    <w:rPr>
      <w:rFonts w:ascii="Antique Olive" w:hAnsi="Antique Olive"/>
      <w:b/>
      <w:sz w:val="24"/>
    </w:rPr>
  </w:style>
  <w:style w:type="paragraph" w:styleId="Heading8">
    <w:name w:val="heading 8"/>
    <w:basedOn w:val="Normal"/>
    <w:next w:val="Normal"/>
    <w:qFormat/>
    <w:pPr>
      <w:keepNext/>
      <w:tabs>
        <w:tab w:val="left" w:pos="284"/>
      </w:tabs>
      <w:ind w:right="56"/>
      <w:jc w:val="center"/>
      <w:outlineLvl w:val="7"/>
    </w:pPr>
    <w:rPr>
      <w:rFonts w:ascii="Antique Olive" w:hAnsi="Antique Olive"/>
      <w:b/>
      <w:sz w:val="26"/>
    </w:rPr>
  </w:style>
  <w:style w:type="paragraph" w:styleId="Heading9">
    <w:name w:val="heading 9"/>
    <w:basedOn w:val="Normal"/>
    <w:next w:val="Normal"/>
    <w:qFormat/>
    <w:pPr>
      <w:keepNext/>
      <w:tabs>
        <w:tab w:val="left" w:pos="284"/>
      </w:tabs>
      <w:ind w:left="-142" w:right="56" w:firstLine="142"/>
      <w:jc w:val="center"/>
      <w:outlineLvl w:val="8"/>
    </w:pPr>
    <w:rPr>
      <w:rFonts w:ascii="Antique Olive" w:hAnsi="Antique Oliv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semiHidden/>
    <w:pPr>
      <w:tabs>
        <w:tab w:val="right" w:pos="10065"/>
      </w:tabs>
    </w:pPr>
    <w:rPr>
      <w:sz w:val="19"/>
    </w:rPr>
  </w:style>
  <w:style w:type="paragraph" w:styleId="BodyText2">
    <w:name w:val="Body Text 2"/>
    <w:basedOn w:val="Normal"/>
    <w:semiHidden/>
    <w:pPr>
      <w:tabs>
        <w:tab w:val="left" w:pos="1560"/>
        <w:tab w:val="left" w:pos="2977"/>
        <w:tab w:val="left" w:pos="3969"/>
        <w:tab w:val="right" w:pos="10065"/>
      </w:tabs>
      <w:jc w:val="both"/>
    </w:pPr>
    <w:rPr>
      <w:sz w:val="20"/>
    </w:rPr>
  </w:style>
  <w:style w:type="paragraph" w:styleId="BodyText3">
    <w:name w:val="Body Text 3"/>
    <w:basedOn w:val="Normal"/>
    <w:semiHidden/>
    <w:pPr>
      <w:tabs>
        <w:tab w:val="right" w:pos="10065"/>
      </w:tabs>
      <w:jc w:val="both"/>
    </w:pPr>
    <w:rPr>
      <w:sz w:val="17"/>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both"/>
    </w:pPr>
    <w:rPr>
      <w:rFonts w:ascii="Antique Olive" w:hAnsi="Antique Olive"/>
      <w:b/>
      <w:sz w:val="20"/>
    </w:rPr>
  </w:style>
  <w:style w:type="paragraph" w:styleId="BlockText">
    <w:name w:val="Block Text"/>
    <w:basedOn w:val="Normal"/>
    <w:semiHidden/>
    <w:pPr>
      <w:tabs>
        <w:tab w:val="left" w:pos="284"/>
      </w:tabs>
      <w:ind w:left="-142" w:right="56" w:firstLine="142"/>
      <w:jc w:val="both"/>
    </w:pPr>
    <w:rPr>
      <w:rFonts w:ascii="Antique Olive" w:hAnsi="Antique Olive"/>
      <w:sz w:val="18"/>
    </w:rPr>
  </w:style>
  <w:style w:type="paragraph" w:styleId="BodyTextIndent2">
    <w:name w:val="Body Text Indent 2"/>
    <w:basedOn w:val="Normal"/>
    <w:semiHidden/>
    <w:pPr>
      <w:pBdr>
        <w:top w:val="single" w:sz="4" w:space="1" w:color="auto"/>
      </w:pBdr>
      <w:tabs>
        <w:tab w:val="left" w:pos="284"/>
        <w:tab w:val="right" w:pos="10065"/>
      </w:tabs>
      <w:ind w:left="284" w:hanging="284"/>
      <w:jc w:val="both"/>
    </w:pPr>
    <w:rPr>
      <w:rFonts w:ascii="Antique Olive" w:hAnsi="Antique Olive"/>
      <w:sz w:val="1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B7B1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KEL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SKELNEWS</Template>
  <TotalTime>284</TotalTime>
  <Pages>3</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Pattinson</dc:creator>
  <cp:lastModifiedBy>Sue</cp:lastModifiedBy>
  <cp:revision>14</cp:revision>
  <cp:lastPrinted>2016-03-23T09:49:00Z</cp:lastPrinted>
  <dcterms:created xsi:type="dcterms:W3CDTF">2015-03-18T14:23:00Z</dcterms:created>
  <dcterms:modified xsi:type="dcterms:W3CDTF">2016-03-23T09:49:00Z</dcterms:modified>
</cp:coreProperties>
</file>